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552" w:rsidRPr="00507902" w:rsidRDefault="00987552" w:rsidP="00987552">
      <w:pPr>
        <w:widowControl w:val="0"/>
        <w:autoSpaceDE w:val="0"/>
        <w:autoSpaceDN w:val="0"/>
        <w:adjustRightInd w:val="0"/>
        <w:rPr>
          <w:rFonts w:eastAsia="MS Mincho" w:cs="Arial"/>
        </w:rPr>
      </w:pPr>
      <w:bookmarkStart w:id="0" w:name="_Toc209316062"/>
      <w:bookmarkEnd w:id="0"/>
      <w:r w:rsidRPr="00507902">
        <w:rPr>
          <w:rFonts w:eastAsia="MS Mincho" w:cs="Arial"/>
          <w:b/>
        </w:rPr>
        <w:t>CORONERS COURT OF WESTERN AUSTRALIA</w:t>
      </w:r>
    </w:p>
    <w:p w:rsidR="00C27B8A" w:rsidRDefault="00987552" w:rsidP="00987552">
      <w:pPr>
        <w:widowControl w:val="0"/>
        <w:autoSpaceDE w:val="0"/>
        <w:autoSpaceDN w:val="0"/>
        <w:adjustRightInd w:val="0"/>
        <w:rPr>
          <w:rFonts w:eastAsia="MS Mincho" w:cs="Arial"/>
          <w:b/>
        </w:rPr>
      </w:pPr>
      <w:r w:rsidRPr="00507902">
        <w:rPr>
          <w:rFonts w:eastAsia="MS Mincho" w:cs="Arial"/>
          <w:b/>
        </w:rPr>
        <w:t>INQUEST</w:t>
      </w:r>
    </w:p>
    <w:p w:rsidR="00987552" w:rsidRDefault="00987552" w:rsidP="00987552">
      <w:pPr>
        <w:widowControl w:val="0"/>
        <w:autoSpaceDE w:val="0"/>
        <w:autoSpaceDN w:val="0"/>
        <w:adjustRightInd w:val="0"/>
        <w:rPr>
          <w:rFonts w:eastAsia="MS Mincho" w:cs="Arial"/>
          <w:b/>
        </w:rPr>
      </w:pPr>
      <w:r w:rsidRPr="00507902">
        <w:rPr>
          <w:rFonts w:eastAsia="MS Mincho" w:cs="Arial"/>
          <w:b/>
        </w:rPr>
        <w:t xml:space="preserve">INTO THE DEATH OF </w:t>
      </w:r>
      <w:r w:rsidR="00C27B8A">
        <w:rPr>
          <w:rFonts w:eastAsia="MS Mincho" w:cs="Arial"/>
          <w:b/>
        </w:rPr>
        <w:tab/>
      </w:r>
      <w:r w:rsidRPr="00507902">
        <w:rPr>
          <w:rFonts w:eastAsia="MS Mincho" w:cs="Arial"/>
          <w:b/>
        </w:rPr>
        <w:t xml:space="preserve"> ANDREA</w:t>
      </w:r>
      <w:r w:rsidR="00C27B8A">
        <w:rPr>
          <w:rFonts w:eastAsia="MS Mincho" w:cs="Arial"/>
          <w:b/>
        </w:rPr>
        <w:t xml:space="preserve"> LOUISE </w:t>
      </w:r>
      <w:r w:rsidRPr="00507902">
        <w:rPr>
          <w:rFonts w:eastAsia="MS Mincho" w:cs="Arial"/>
          <w:b/>
        </w:rPr>
        <w:t xml:space="preserve"> PICKETT</w:t>
      </w:r>
    </w:p>
    <w:p w:rsidR="00C27B8A" w:rsidRPr="00507902" w:rsidRDefault="00C27B8A" w:rsidP="00987552">
      <w:pPr>
        <w:widowControl w:val="0"/>
        <w:autoSpaceDE w:val="0"/>
        <w:autoSpaceDN w:val="0"/>
        <w:adjustRightInd w:val="0"/>
        <w:rPr>
          <w:rFonts w:eastAsia="MS Mincho" w:cs="Arial"/>
        </w:rPr>
      </w:pPr>
      <w:r>
        <w:rPr>
          <w:rFonts w:eastAsia="MS Mincho" w:cs="Arial"/>
          <w:b/>
        </w:rPr>
        <w:t>FILE NUMBER:</w:t>
      </w:r>
      <w:r>
        <w:rPr>
          <w:rFonts w:eastAsia="MS Mincho" w:cs="Arial"/>
          <w:b/>
        </w:rPr>
        <w:tab/>
      </w:r>
      <w:r>
        <w:rPr>
          <w:rFonts w:eastAsia="MS Mincho" w:cs="Arial"/>
          <w:b/>
        </w:rPr>
        <w:tab/>
        <w:t>41/09</w:t>
      </w:r>
    </w:p>
    <w:p w:rsidR="00E26887" w:rsidRDefault="00E26887" w:rsidP="00987552">
      <w:pPr>
        <w:widowControl w:val="0"/>
        <w:autoSpaceDE w:val="0"/>
        <w:autoSpaceDN w:val="0"/>
        <w:adjustRightInd w:val="0"/>
        <w:spacing w:after="1080"/>
        <w:rPr>
          <w:rFonts w:eastAsia="MS Mincho" w:cs="Arial"/>
          <w:b/>
        </w:rPr>
      </w:pPr>
    </w:p>
    <w:p w:rsidR="00987552" w:rsidRPr="00507902" w:rsidRDefault="00987552" w:rsidP="00E26887">
      <w:pPr>
        <w:widowControl w:val="0"/>
        <w:autoSpaceDE w:val="0"/>
        <w:autoSpaceDN w:val="0"/>
        <w:adjustRightInd w:val="0"/>
        <w:spacing w:after="1080"/>
        <w:jc w:val="center"/>
        <w:rPr>
          <w:rFonts w:eastAsia="MS Mincho" w:cs="Arial"/>
          <w:b/>
        </w:rPr>
      </w:pPr>
      <w:r w:rsidRPr="00507902">
        <w:rPr>
          <w:rFonts w:eastAsia="MS Mincho" w:cs="Arial"/>
          <w:b/>
        </w:rPr>
        <w:t>SUBMISSIONS OF THE AUSTRALIAN HUMAN RIGHTS COMMISSION</w:t>
      </w:r>
    </w:p>
    <w:p w:rsidR="00FD6932" w:rsidRPr="009A390D" w:rsidRDefault="00FD6932" w:rsidP="006470B5">
      <w:pPr>
        <w:keepNext/>
        <w:keepLines/>
        <w:numPr>
          <w:ilvl w:val="0"/>
          <w:numId w:val="15"/>
        </w:numPr>
        <w:spacing w:before="360"/>
        <w:outlineLvl w:val="0"/>
        <w:rPr>
          <w:rStyle w:val="Heading1Char"/>
          <w:rFonts w:eastAsia="MS Mincho"/>
        </w:rPr>
      </w:pPr>
      <w:r w:rsidRPr="009A390D">
        <w:rPr>
          <w:rStyle w:val="Heading1Char"/>
          <w:rFonts w:eastAsia="MS Mincho"/>
        </w:rPr>
        <w:t xml:space="preserve">The </w:t>
      </w:r>
      <w:r w:rsidR="00297196">
        <w:rPr>
          <w:rStyle w:val="Heading1Char"/>
          <w:rFonts w:eastAsia="MS Mincho"/>
        </w:rPr>
        <w:t>r</w:t>
      </w:r>
      <w:r w:rsidRPr="009A390D">
        <w:rPr>
          <w:rStyle w:val="Heading1Char"/>
          <w:rFonts w:eastAsia="MS Mincho"/>
        </w:rPr>
        <w:t xml:space="preserve">ole of the </w:t>
      </w:r>
      <w:r w:rsidR="00112BB2" w:rsidRPr="009A390D">
        <w:rPr>
          <w:rStyle w:val="Heading1Char"/>
          <w:rFonts w:eastAsia="MS Mincho"/>
        </w:rPr>
        <w:t>Australian</w:t>
      </w:r>
      <w:r w:rsidRPr="009A390D">
        <w:rPr>
          <w:rStyle w:val="Heading1Char"/>
          <w:rFonts w:eastAsia="MS Mincho"/>
        </w:rPr>
        <w:t xml:space="preserve"> Human Rights </w:t>
      </w:r>
      <w:r w:rsidR="00112BB2" w:rsidRPr="009A390D">
        <w:rPr>
          <w:rStyle w:val="Heading1Char"/>
          <w:rFonts w:eastAsia="MS Mincho"/>
        </w:rPr>
        <w:t>Commission</w:t>
      </w:r>
      <w:r w:rsidRPr="009A390D">
        <w:rPr>
          <w:rStyle w:val="Heading1Char"/>
          <w:rFonts w:eastAsia="MS Mincho"/>
        </w:rPr>
        <w:t xml:space="preserve"> in th</w:t>
      </w:r>
      <w:r w:rsidR="00F21BCB">
        <w:rPr>
          <w:rStyle w:val="Heading1Char"/>
          <w:rFonts w:eastAsia="MS Mincho"/>
        </w:rPr>
        <w:t>is</w:t>
      </w:r>
      <w:r w:rsidRPr="009A390D">
        <w:rPr>
          <w:rStyle w:val="Heading1Char"/>
          <w:rFonts w:eastAsia="MS Mincho"/>
          <w:b w:val="0"/>
          <w:bCs w:val="0"/>
        </w:rPr>
        <w:t xml:space="preserve"> </w:t>
      </w:r>
      <w:r w:rsidR="00F21BCB">
        <w:rPr>
          <w:rStyle w:val="Heading1Char"/>
          <w:rFonts w:eastAsia="MS Mincho"/>
        </w:rPr>
        <w:t>I</w:t>
      </w:r>
      <w:r w:rsidRPr="009A390D">
        <w:rPr>
          <w:rStyle w:val="Heading1Char"/>
          <w:rFonts w:eastAsia="MS Mincho"/>
        </w:rPr>
        <w:t>nquest</w:t>
      </w:r>
    </w:p>
    <w:p w:rsidR="00FD6932" w:rsidRPr="00795DD6" w:rsidRDefault="00FD6932" w:rsidP="006470B5">
      <w:pPr>
        <w:numPr>
          <w:ilvl w:val="0"/>
          <w:numId w:val="16"/>
        </w:numPr>
        <w:autoSpaceDE w:val="0"/>
        <w:autoSpaceDN w:val="0"/>
        <w:adjustRightInd w:val="0"/>
        <w:spacing w:before="0"/>
        <w:rPr>
          <w:rFonts w:cs="Arial"/>
        </w:rPr>
      </w:pPr>
      <w:r>
        <w:rPr>
          <w:rFonts w:cs="Arial"/>
        </w:rPr>
        <w:t xml:space="preserve">The </w:t>
      </w:r>
      <w:r w:rsidRPr="00FD6932">
        <w:rPr>
          <w:rFonts w:cs="Arial"/>
        </w:rPr>
        <w:t>Australian Human Rights Commission</w:t>
      </w:r>
      <w:r>
        <w:rPr>
          <w:rFonts w:cs="Arial"/>
        </w:rPr>
        <w:t xml:space="preserve"> was granted leave to intervene </w:t>
      </w:r>
      <w:r w:rsidRPr="00795DD6">
        <w:rPr>
          <w:rFonts w:cs="Arial"/>
        </w:rPr>
        <w:t>to assist the Coroner in:</w:t>
      </w:r>
    </w:p>
    <w:p w:rsidR="00FD6932" w:rsidRPr="00795DD6" w:rsidRDefault="00FD6932" w:rsidP="006470B5">
      <w:pPr>
        <w:pStyle w:val="SubmissionNormal"/>
        <w:numPr>
          <w:ilvl w:val="1"/>
          <w:numId w:val="17"/>
        </w:numPr>
        <w:rPr>
          <w:rFonts w:cs="Arial"/>
        </w:rPr>
      </w:pPr>
      <w:r w:rsidRPr="00795DD6">
        <w:rPr>
          <w:rFonts w:cs="Arial"/>
        </w:rPr>
        <w:t>identifying the relevant human rights issues</w:t>
      </w:r>
      <w:r>
        <w:rPr>
          <w:rFonts w:cs="Arial"/>
        </w:rPr>
        <w:t>;</w:t>
      </w:r>
      <w:r w:rsidRPr="00795DD6">
        <w:rPr>
          <w:rFonts w:cs="Arial"/>
        </w:rPr>
        <w:t xml:space="preserve"> </w:t>
      </w:r>
    </w:p>
    <w:p w:rsidR="00FD6932" w:rsidRPr="00795DD6" w:rsidRDefault="00FD6932" w:rsidP="006470B5">
      <w:pPr>
        <w:pStyle w:val="SubmissionNormal"/>
        <w:numPr>
          <w:ilvl w:val="1"/>
          <w:numId w:val="17"/>
        </w:numPr>
        <w:rPr>
          <w:rFonts w:cs="Arial"/>
        </w:rPr>
      </w:pPr>
      <w:r w:rsidRPr="00795DD6">
        <w:rPr>
          <w:rFonts w:cs="Arial"/>
        </w:rPr>
        <w:t xml:space="preserve">understanding the interplay between those rights and the circumstances surrounding </w:t>
      </w:r>
      <w:r>
        <w:rPr>
          <w:rFonts w:cs="Arial"/>
        </w:rPr>
        <w:t>Andrea</w:t>
      </w:r>
      <w:r w:rsidRPr="00795DD6">
        <w:rPr>
          <w:rFonts w:cs="Arial"/>
        </w:rPr>
        <w:t>'s death</w:t>
      </w:r>
      <w:r>
        <w:rPr>
          <w:rFonts w:cs="Arial"/>
        </w:rPr>
        <w:t>;</w:t>
      </w:r>
      <w:r w:rsidRPr="00795DD6">
        <w:rPr>
          <w:rFonts w:cs="Arial"/>
        </w:rPr>
        <w:t xml:space="preserve"> and </w:t>
      </w:r>
    </w:p>
    <w:p w:rsidR="00FD6932" w:rsidRPr="00FD6932" w:rsidRDefault="00FD6932" w:rsidP="006470B5">
      <w:pPr>
        <w:pStyle w:val="SubmissionNormal"/>
        <w:numPr>
          <w:ilvl w:val="1"/>
          <w:numId w:val="17"/>
        </w:numPr>
        <w:rPr>
          <w:rFonts w:cs="Arial"/>
        </w:rPr>
      </w:pPr>
      <w:r w:rsidRPr="00795DD6">
        <w:rPr>
          <w:rFonts w:cs="Arial"/>
        </w:rPr>
        <w:t>understanding the obligations on the State in the protection and implementation of those rights.</w:t>
      </w:r>
    </w:p>
    <w:p w:rsidR="00987552" w:rsidRPr="009A390D" w:rsidRDefault="00791D73" w:rsidP="006470B5">
      <w:pPr>
        <w:keepNext/>
        <w:keepLines/>
        <w:numPr>
          <w:ilvl w:val="0"/>
          <w:numId w:val="15"/>
        </w:numPr>
        <w:spacing w:before="360"/>
        <w:outlineLvl w:val="0"/>
        <w:rPr>
          <w:rStyle w:val="Heading1Char"/>
          <w:rFonts w:eastAsia="MS Mincho"/>
        </w:rPr>
      </w:pPr>
      <w:r>
        <w:rPr>
          <w:rStyle w:val="Heading1Char"/>
          <w:rFonts w:eastAsia="MS Mincho"/>
        </w:rPr>
        <w:t xml:space="preserve">Relevance of </w:t>
      </w:r>
      <w:r w:rsidR="008E185F">
        <w:rPr>
          <w:rStyle w:val="Heading1Char"/>
          <w:rFonts w:eastAsia="MS Mincho"/>
        </w:rPr>
        <w:t>h</w:t>
      </w:r>
      <w:r>
        <w:rPr>
          <w:rStyle w:val="Heading1Char"/>
          <w:rFonts w:eastAsia="MS Mincho"/>
        </w:rPr>
        <w:t xml:space="preserve">uman </w:t>
      </w:r>
      <w:r w:rsidR="008E185F">
        <w:rPr>
          <w:rStyle w:val="Heading1Char"/>
          <w:rFonts w:eastAsia="MS Mincho"/>
        </w:rPr>
        <w:t>r</w:t>
      </w:r>
      <w:r>
        <w:rPr>
          <w:rStyle w:val="Heading1Char"/>
          <w:rFonts w:eastAsia="MS Mincho"/>
        </w:rPr>
        <w:t>ights to t</w:t>
      </w:r>
      <w:r w:rsidR="00987552" w:rsidRPr="009A390D">
        <w:rPr>
          <w:rStyle w:val="Heading1Char"/>
          <w:rFonts w:eastAsia="MS Mincho"/>
        </w:rPr>
        <w:t>his Inquest</w:t>
      </w:r>
    </w:p>
    <w:p w:rsidR="00987552" w:rsidRPr="00507902" w:rsidRDefault="00987552" w:rsidP="006470B5">
      <w:pPr>
        <w:numPr>
          <w:ilvl w:val="0"/>
          <w:numId w:val="16"/>
        </w:numPr>
        <w:autoSpaceDE w:val="0"/>
        <w:autoSpaceDN w:val="0"/>
        <w:adjustRightInd w:val="0"/>
        <w:spacing w:before="0"/>
        <w:rPr>
          <w:rFonts w:cs="Arial"/>
        </w:rPr>
      </w:pPr>
      <w:r w:rsidRPr="00507902">
        <w:rPr>
          <w:rFonts w:cs="Arial"/>
        </w:rPr>
        <w:t xml:space="preserve">Human rights instruments and jurisprudence are relevant in assisting the Coroner in making comments in the inquiry. </w:t>
      </w:r>
    </w:p>
    <w:p w:rsidR="00987552" w:rsidRPr="00507902" w:rsidRDefault="00987552" w:rsidP="00B42044">
      <w:pPr>
        <w:numPr>
          <w:ilvl w:val="0"/>
          <w:numId w:val="16"/>
        </w:numPr>
        <w:autoSpaceDE w:val="0"/>
        <w:autoSpaceDN w:val="0"/>
        <w:adjustRightInd w:val="0"/>
        <w:spacing w:before="0" w:line="280" w:lineRule="exact"/>
        <w:ind w:left="714" w:hanging="357"/>
        <w:rPr>
          <w:rFonts w:cs="Arial"/>
        </w:rPr>
      </w:pPr>
      <w:r w:rsidRPr="00507902">
        <w:rPr>
          <w:rFonts w:cs="Arial"/>
        </w:rPr>
        <w:t xml:space="preserve">Human rights are a legitimate influence on the exercise of the Coroner’s statutory discretions and obligations. It is a well settled principle of statutory construction that, to the extent of any ambiguity, all domestic statutes should be applied as far as practicable so as to conform to Australia’s obligations </w:t>
      </w:r>
      <w:r w:rsidRPr="00507902">
        <w:rPr>
          <w:rFonts w:cs="Arial"/>
        </w:rPr>
        <w:lastRenderedPageBreak/>
        <w:t>under international law.</w:t>
      </w:r>
      <w:r w:rsidRPr="001C64DC">
        <w:rPr>
          <w:rStyle w:val="FootnoteReference"/>
        </w:rPr>
        <w:footnoteReference w:id="1"/>
      </w:r>
      <w:r w:rsidRPr="00507902">
        <w:rPr>
          <w:rFonts w:cs="Arial"/>
        </w:rPr>
        <w:t xml:space="preserve"> It is also an accepted principle that human rights law is a valid influence on the development and interpretation of the common law.</w:t>
      </w:r>
      <w:r w:rsidRPr="001C64DC">
        <w:rPr>
          <w:rStyle w:val="FootnoteReference"/>
        </w:rPr>
        <w:footnoteReference w:id="2"/>
      </w:r>
    </w:p>
    <w:p w:rsidR="00987552" w:rsidRPr="00507902" w:rsidRDefault="00987552" w:rsidP="006470B5">
      <w:pPr>
        <w:numPr>
          <w:ilvl w:val="0"/>
          <w:numId w:val="16"/>
        </w:numPr>
        <w:autoSpaceDE w:val="0"/>
        <w:autoSpaceDN w:val="0"/>
        <w:adjustRightInd w:val="0"/>
        <w:spacing w:before="0"/>
        <w:rPr>
          <w:rFonts w:cs="Arial"/>
        </w:rPr>
      </w:pPr>
      <w:r w:rsidRPr="00507902">
        <w:rPr>
          <w:rFonts w:cs="Arial"/>
        </w:rPr>
        <w:t>International human rights law provides practical assistance in assessing whether the standard of car</w:t>
      </w:r>
      <w:r w:rsidR="00B42044">
        <w:rPr>
          <w:rFonts w:cs="Arial"/>
        </w:rPr>
        <w:t>e shown to Andrea was adequate.</w:t>
      </w:r>
    </w:p>
    <w:p w:rsidR="00987552" w:rsidRPr="009A390D" w:rsidRDefault="00987552" w:rsidP="006470B5">
      <w:pPr>
        <w:keepNext/>
        <w:keepLines/>
        <w:numPr>
          <w:ilvl w:val="0"/>
          <w:numId w:val="15"/>
        </w:numPr>
        <w:spacing w:before="360"/>
        <w:outlineLvl w:val="0"/>
        <w:rPr>
          <w:rStyle w:val="Heading1Char"/>
          <w:rFonts w:eastAsia="MS Mincho"/>
        </w:rPr>
      </w:pPr>
      <w:r w:rsidRPr="009A390D">
        <w:rPr>
          <w:rStyle w:val="Heading1Char"/>
          <w:rFonts w:eastAsia="MS Mincho"/>
        </w:rPr>
        <w:t>Obligations of the State</w:t>
      </w:r>
    </w:p>
    <w:p w:rsidR="00987552" w:rsidRPr="00507902" w:rsidRDefault="00987552" w:rsidP="006470B5">
      <w:pPr>
        <w:keepNext/>
        <w:numPr>
          <w:ilvl w:val="0"/>
          <w:numId w:val="16"/>
        </w:numPr>
        <w:autoSpaceDE w:val="0"/>
        <w:autoSpaceDN w:val="0"/>
        <w:adjustRightInd w:val="0"/>
        <w:spacing w:before="0"/>
        <w:rPr>
          <w:rFonts w:cs="Arial"/>
        </w:rPr>
      </w:pPr>
      <w:r w:rsidRPr="00507902">
        <w:rPr>
          <w:rFonts w:cs="Arial"/>
        </w:rPr>
        <w:t xml:space="preserve">The </w:t>
      </w:r>
      <w:r w:rsidR="0099452E">
        <w:rPr>
          <w:rFonts w:cs="Arial"/>
        </w:rPr>
        <w:t>S</w:t>
      </w:r>
      <w:r w:rsidR="0099452E" w:rsidRPr="00507902">
        <w:rPr>
          <w:rFonts w:cs="Arial"/>
        </w:rPr>
        <w:t xml:space="preserve">tate </w:t>
      </w:r>
      <w:r w:rsidRPr="00507902">
        <w:rPr>
          <w:rFonts w:cs="Arial"/>
        </w:rPr>
        <w:t>of Western Australia had the following human rights obligations in relation to Andrea:</w:t>
      </w:r>
    </w:p>
    <w:p w:rsidR="003203B8" w:rsidRDefault="00987552" w:rsidP="006470B5">
      <w:pPr>
        <w:numPr>
          <w:ilvl w:val="1"/>
          <w:numId w:val="16"/>
        </w:numPr>
        <w:autoSpaceDE w:val="0"/>
        <w:autoSpaceDN w:val="0"/>
        <w:adjustRightInd w:val="0"/>
        <w:spacing w:before="0"/>
        <w:rPr>
          <w:rFonts w:eastAsia="MS Mincho" w:cs="Arial"/>
        </w:rPr>
      </w:pPr>
      <w:r w:rsidRPr="00507902">
        <w:rPr>
          <w:rFonts w:eastAsia="MS Mincho" w:cs="Arial"/>
        </w:rPr>
        <w:t xml:space="preserve">To </w:t>
      </w:r>
      <w:r w:rsidRPr="003203B8">
        <w:rPr>
          <w:rFonts w:cs="Arial"/>
        </w:rPr>
        <w:t>prohibit</w:t>
      </w:r>
      <w:r w:rsidRPr="00507902">
        <w:rPr>
          <w:rFonts w:eastAsia="MS Mincho" w:cs="Arial"/>
        </w:rPr>
        <w:t xml:space="preserve"> discrimination against her, in the form of gender based (domestic) violence, and </w:t>
      </w:r>
      <w:r w:rsidRPr="00B67F33">
        <w:rPr>
          <w:rFonts w:cs="Arial"/>
        </w:rPr>
        <w:t>to</w:t>
      </w:r>
      <w:r w:rsidRPr="00507902">
        <w:rPr>
          <w:rFonts w:eastAsia="MS Mincho" w:cs="Arial"/>
        </w:rPr>
        <w:t xml:space="preserve"> take all appropriate measures to eliminate that discrimination by any person or organisation</w:t>
      </w:r>
      <w:r w:rsidRPr="00507902">
        <w:rPr>
          <w:rFonts w:eastAsia="MS Mincho" w:cs="Arial"/>
          <w:sz w:val="20"/>
          <w:vertAlign w:val="superscript"/>
        </w:rPr>
        <w:footnoteReference w:id="3"/>
      </w:r>
      <w:r w:rsidRPr="00507902">
        <w:rPr>
          <w:rFonts w:eastAsia="MS Mincho" w:cs="Arial"/>
        </w:rPr>
        <w:t xml:space="preserve"> including through:</w:t>
      </w:r>
    </w:p>
    <w:p w:rsidR="00987552" w:rsidRPr="003203B8" w:rsidRDefault="00987552" w:rsidP="006470B5">
      <w:pPr>
        <w:numPr>
          <w:ilvl w:val="2"/>
          <w:numId w:val="16"/>
        </w:numPr>
        <w:autoSpaceDE w:val="0"/>
        <w:autoSpaceDN w:val="0"/>
        <w:adjustRightInd w:val="0"/>
        <w:spacing w:before="0"/>
        <w:rPr>
          <w:rFonts w:eastAsia="MS Mincho" w:cs="Arial"/>
        </w:rPr>
      </w:pPr>
      <w:r w:rsidRPr="006F48E4">
        <w:rPr>
          <w:rFonts w:eastAsia="MS Mincho" w:cs="Arial"/>
        </w:rPr>
        <w:t>criminal penalties and civil remedies;</w:t>
      </w:r>
    </w:p>
    <w:p w:rsidR="00987552" w:rsidRPr="006F48E4" w:rsidRDefault="00987552" w:rsidP="006470B5">
      <w:pPr>
        <w:numPr>
          <w:ilvl w:val="2"/>
          <w:numId w:val="16"/>
        </w:numPr>
        <w:autoSpaceDE w:val="0"/>
        <w:autoSpaceDN w:val="0"/>
        <w:adjustRightInd w:val="0"/>
        <w:spacing w:before="0"/>
        <w:rPr>
          <w:rFonts w:eastAsia="MS Mincho" w:cs="Arial"/>
        </w:rPr>
      </w:pPr>
      <w:r w:rsidRPr="006F48E4">
        <w:rPr>
          <w:rFonts w:eastAsia="MS Mincho" w:cs="Arial"/>
        </w:rPr>
        <w:t>services to ensure her safety including refuges, counselling and rehabilitation programmes; and</w:t>
      </w:r>
    </w:p>
    <w:p w:rsidR="00987552" w:rsidRPr="006F48E4" w:rsidRDefault="00987552" w:rsidP="006470B5">
      <w:pPr>
        <w:numPr>
          <w:ilvl w:val="2"/>
          <w:numId w:val="16"/>
        </w:numPr>
        <w:autoSpaceDE w:val="0"/>
        <w:autoSpaceDN w:val="0"/>
        <w:adjustRightInd w:val="0"/>
        <w:spacing w:before="0"/>
        <w:rPr>
          <w:rFonts w:eastAsia="MS Mincho" w:cs="Arial"/>
        </w:rPr>
      </w:pPr>
      <w:r w:rsidRPr="006F48E4">
        <w:rPr>
          <w:rFonts w:eastAsia="MS Mincho" w:cs="Arial"/>
        </w:rPr>
        <w:t>rehabilitation programmes for perpetrators of domestic violence.</w:t>
      </w:r>
      <w:r w:rsidRPr="001C64DC">
        <w:rPr>
          <w:rStyle w:val="FootnoteReference"/>
        </w:rPr>
        <w:footnoteReference w:id="4"/>
      </w:r>
    </w:p>
    <w:p w:rsidR="00987552" w:rsidRPr="00507902" w:rsidRDefault="00987552" w:rsidP="006470B5">
      <w:pPr>
        <w:numPr>
          <w:ilvl w:val="1"/>
          <w:numId w:val="16"/>
        </w:numPr>
        <w:autoSpaceDE w:val="0"/>
        <w:autoSpaceDN w:val="0"/>
        <w:adjustRightInd w:val="0"/>
        <w:spacing w:before="0"/>
        <w:rPr>
          <w:rFonts w:eastAsia="MS Mincho" w:cs="Arial"/>
        </w:rPr>
      </w:pPr>
      <w:r w:rsidRPr="00507902">
        <w:rPr>
          <w:rFonts w:eastAsia="MS Mincho" w:cs="Arial"/>
        </w:rPr>
        <w:t>To take all appropriate steps to safeguard Andrea’s life</w:t>
      </w:r>
      <w:r w:rsidRPr="001C64DC">
        <w:rPr>
          <w:rStyle w:val="FootnoteReference"/>
        </w:rPr>
        <w:footnoteReference w:id="5"/>
      </w:r>
      <w:r w:rsidRPr="001C64DC">
        <w:rPr>
          <w:rStyle w:val="FootnoteReference"/>
        </w:rPr>
        <w:t xml:space="preserve"> </w:t>
      </w:r>
      <w:r w:rsidRPr="00507902">
        <w:rPr>
          <w:rFonts w:eastAsia="MS Mincho" w:cs="Arial"/>
        </w:rPr>
        <w:t>including:</w:t>
      </w:r>
    </w:p>
    <w:p w:rsidR="00987552" w:rsidRPr="006F48E4" w:rsidRDefault="00791D73" w:rsidP="006470B5">
      <w:pPr>
        <w:numPr>
          <w:ilvl w:val="2"/>
          <w:numId w:val="16"/>
        </w:numPr>
        <w:autoSpaceDE w:val="0"/>
        <w:autoSpaceDN w:val="0"/>
        <w:adjustRightInd w:val="0"/>
        <w:spacing w:before="0"/>
        <w:rPr>
          <w:rFonts w:eastAsia="MS Mincho" w:cs="Arial"/>
        </w:rPr>
      </w:pPr>
      <w:r w:rsidRPr="006F48E4">
        <w:rPr>
          <w:rFonts w:eastAsia="MS Mincho" w:cs="Arial"/>
        </w:rPr>
        <w:t xml:space="preserve">detaining </w:t>
      </w:r>
      <w:r w:rsidR="00987552" w:rsidRPr="006F48E4">
        <w:rPr>
          <w:rFonts w:eastAsia="MS Mincho" w:cs="Arial"/>
        </w:rPr>
        <w:t>a person who is known to be a threat to her life</w:t>
      </w:r>
      <w:r w:rsidR="003B1226" w:rsidRPr="006F48E4">
        <w:rPr>
          <w:rFonts w:eastAsia="MS Mincho" w:cs="Arial"/>
        </w:rPr>
        <w:t>;</w:t>
      </w:r>
      <w:r w:rsidR="00987552" w:rsidRPr="001C64DC">
        <w:rPr>
          <w:rStyle w:val="FootnoteReference"/>
        </w:rPr>
        <w:footnoteReference w:id="6"/>
      </w:r>
    </w:p>
    <w:p w:rsidR="00987552" w:rsidRPr="006F48E4" w:rsidRDefault="00791D73" w:rsidP="006470B5">
      <w:pPr>
        <w:numPr>
          <w:ilvl w:val="2"/>
          <w:numId w:val="16"/>
        </w:numPr>
        <w:autoSpaceDE w:val="0"/>
        <w:autoSpaceDN w:val="0"/>
        <w:adjustRightInd w:val="0"/>
        <w:spacing w:before="0"/>
        <w:rPr>
          <w:rFonts w:eastAsia="MS Mincho" w:cs="Arial"/>
        </w:rPr>
      </w:pPr>
      <w:r>
        <w:rPr>
          <w:rFonts w:eastAsia="MS Mincho" w:cs="Arial"/>
        </w:rPr>
        <w:lastRenderedPageBreak/>
        <w:t>p</w:t>
      </w:r>
      <w:r w:rsidR="00987552" w:rsidRPr="006F48E4">
        <w:rPr>
          <w:rFonts w:eastAsia="MS Mincho" w:cs="Arial"/>
        </w:rPr>
        <w:t>roviding appropriate training of personnel such as police to ensure the right to life is adequately protected</w:t>
      </w:r>
      <w:r w:rsidR="003B1226" w:rsidRPr="006F48E4">
        <w:rPr>
          <w:rFonts w:eastAsia="MS Mincho" w:cs="Arial"/>
        </w:rPr>
        <w:t>; and</w:t>
      </w:r>
    </w:p>
    <w:p w:rsidR="00987552" w:rsidRPr="006F48E4" w:rsidRDefault="00791D73" w:rsidP="006470B5">
      <w:pPr>
        <w:numPr>
          <w:ilvl w:val="2"/>
          <w:numId w:val="16"/>
        </w:numPr>
        <w:autoSpaceDE w:val="0"/>
        <w:autoSpaceDN w:val="0"/>
        <w:adjustRightInd w:val="0"/>
        <w:spacing w:before="0"/>
        <w:rPr>
          <w:rFonts w:eastAsia="MS Mincho" w:cs="Arial"/>
        </w:rPr>
      </w:pPr>
      <w:r>
        <w:rPr>
          <w:rFonts w:eastAsia="MS Mincho" w:cs="Arial"/>
        </w:rPr>
        <w:t>t</w:t>
      </w:r>
      <w:r w:rsidR="00987552" w:rsidRPr="006F48E4">
        <w:rPr>
          <w:rFonts w:eastAsia="MS Mincho" w:cs="Arial"/>
        </w:rPr>
        <w:t>o investigate promptly, thoroughly, impartially and seriously all allegations of domestic violence and bring the offenders to justice</w:t>
      </w:r>
      <w:r w:rsidR="00697CE3" w:rsidRPr="006F48E4">
        <w:rPr>
          <w:rFonts w:eastAsia="MS Mincho" w:cs="Arial"/>
        </w:rPr>
        <w:t>.</w:t>
      </w:r>
    </w:p>
    <w:p w:rsidR="00987552" w:rsidRPr="00507902" w:rsidRDefault="00987552" w:rsidP="006470B5">
      <w:pPr>
        <w:numPr>
          <w:ilvl w:val="1"/>
          <w:numId w:val="16"/>
        </w:numPr>
        <w:autoSpaceDE w:val="0"/>
        <w:autoSpaceDN w:val="0"/>
        <w:adjustRightInd w:val="0"/>
        <w:spacing w:before="0"/>
        <w:rPr>
          <w:rFonts w:eastAsia="MS Mincho" w:cs="Arial"/>
        </w:rPr>
      </w:pPr>
      <w:r w:rsidRPr="00507902">
        <w:rPr>
          <w:rFonts w:eastAsia="MS Mincho" w:cs="Arial"/>
        </w:rPr>
        <w:t>In all of the actions taken by a State to prevent and respond to acts of violence against women there is an overarching requirement to act with or exercise due diligence in fulfilling those obligations.</w:t>
      </w:r>
      <w:r w:rsidRPr="00507902">
        <w:rPr>
          <w:rFonts w:eastAsia="MS Mincho" w:cs="Arial"/>
          <w:sz w:val="20"/>
          <w:vertAlign w:val="superscript"/>
        </w:rPr>
        <w:footnoteReference w:id="7"/>
      </w:r>
    </w:p>
    <w:p w:rsidR="00987552" w:rsidRPr="00507902" w:rsidRDefault="00987552" w:rsidP="006470B5">
      <w:pPr>
        <w:numPr>
          <w:ilvl w:val="0"/>
          <w:numId w:val="16"/>
        </w:numPr>
        <w:autoSpaceDE w:val="0"/>
        <w:autoSpaceDN w:val="0"/>
        <w:adjustRightInd w:val="0"/>
        <w:spacing w:before="0"/>
        <w:rPr>
          <w:rFonts w:cs="Arial"/>
        </w:rPr>
      </w:pPr>
      <w:r w:rsidRPr="00507902">
        <w:rPr>
          <w:rFonts w:cs="Arial"/>
        </w:rPr>
        <w:t>In addition, the S</w:t>
      </w:r>
      <w:r w:rsidR="00276358" w:rsidRPr="00507902">
        <w:rPr>
          <w:rFonts w:cs="Arial"/>
        </w:rPr>
        <w:t>t</w:t>
      </w:r>
      <w:r w:rsidRPr="00507902">
        <w:rPr>
          <w:rFonts w:cs="Arial"/>
        </w:rPr>
        <w:t>ate owed a duty to Andrea’s 13 children to:</w:t>
      </w:r>
    </w:p>
    <w:p w:rsidR="00987552" w:rsidRPr="00507902" w:rsidRDefault="00791D73" w:rsidP="006470B5">
      <w:pPr>
        <w:numPr>
          <w:ilvl w:val="1"/>
          <w:numId w:val="16"/>
        </w:numPr>
        <w:autoSpaceDE w:val="0"/>
        <w:autoSpaceDN w:val="0"/>
        <w:adjustRightInd w:val="0"/>
        <w:spacing w:before="0"/>
        <w:ind w:left="1434" w:hanging="357"/>
        <w:rPr>
          <w:rFonts w:cs="Arial"/>
        </w:rPr>
      </w:pPr>
      <w:r>
        <w:rPr>
          <w:rFonts w:cs="Arial"/>
        </w:rPr>
        <w:t>h</w:t>
      </w:r>
      <w:r w:rsidR="00987552" w:rsidRPr="00507902">
        <w:rPr>
          <w:rFonts w:cs="Arial"/>
        </w:rPr>
        <w:t xml:space="preserve">ave the best interests of the children as a primary consideration in all actions </w:t>
      </w:r>
      <w:r w:rsidR="00987552" w:rsidRPr="00507902">
        <w:rPr>
          <w:rFonts w:eastAsia="MS Mincho" w:cs="Arial"/>
        </w:rPr>
        <w:t>concerning</w:t>
      </w:r>
      <w:r w:rsidR="00697CE3">
        <w:rPr>
          <w:rFonts w:cs="Arial"/>
        </w:rPr>
        <w:t xml:space="preserve"> them; </w:t>
      </w:r>
      <w:r w:rsidR="00697CE3" w:rsidRPr="00B67F33">
        <w:rPr>
          <w:rFonts w:eastAsia="MS Mincho" w:cs="Arial"/>
        </w:rPr>
        <w:t>and</w:t>
      </w:r>
      <w:r w:rsidR="00987552" w:rsidRPr="00507902">
        <w:rPr>
          <w:rFonts w:cs="Arial"/>
          <w:sz w:val="20"/>
          <w:vertAlign w:val="superscript"/>
        </w:rPr>
        <w:footnoteReference w:id="8"/>
      </w:r>
    </w:p>
    <w:p w:rsidR="00987552" w:rsidRPr="00507902" w:rsidRDefault="00791D73" w:rsidP="006470B5">
      <w:pPr>
        <w:numPr>
          <w:ilvl w:val="1"/>
          <w:numId w:val="16"/>
        </w:numPr>
        <w:autoSpaceDE w:val="0"/>
        <w:autoSpaceDN w:val="0"/>
        <w:adjustRightInd w:val="0"/>
        <w:spacing w:before="0"/>
        <w:ind w:left="1434" w:hanging="357"/>
        <w:rPr>
          <w:rFonts w:cs="Arial"/>
        </w:rPr>
      </w:pPr>
      <w:r>
        <w:rPr>
          <w:rFonts w:cs="Arial"/>
        </w:rPr>
        <w:t>t</w:t>
      </w:r>
      <w:r w:rsidR="00987552" w:rsidRPr="00507902">
        <w:rPr>
          <w:rFonts w:cs="Arial"/>
        </w:rPr>
        <w:t xml:space="preserve">ake all appropriate legislative, administrative, social and educational measures to protect the child from all forms of physical or mental violence, injury or abuse, … negligent treatment, maltreatment … while in the </w:t>
      </w:r>
      <w:r w:rsidR="00987552" w:rsidRPr="00B67F33">
        <w:rPr>
          <w:rFonts w:eastAsia="MS Mincho" w:cs="Arial"/>
        </w:rPr>
        <w:t>care</w:t>
      </w:r>
      <w:r w:rsidR="00987552" w:rsidRPr="00507902">
        <w:rPr>
          <w:rFonts w:cs="Arial"/>
        </w:rPr>
        <w:t xml:space="preserve"> of parent(s), legal guardian(s) or any other person who has the care of the child.</w:t>
      </w:r>
      <w:r w:rsidR="0069376C">
        <w:rPr>
          <w:rStyle w:val="FootnoteReference"/>
          <w:rFonts w:cs="Arial"/>
        </w:rPr>
        <w:footnoteReference w:id="9"/>
      </w:r>
    </w:p>
    <w:p w:rsidR="00987552" w:rsidRPr="009A390D" w:rsidRDefault="00987552" w:rsidP="006470B5">
      <w:pPr>
        <w:keepNext/>
        <w:keepLines/>
        <w:numPr>
          <w:ilvl w:val="0"/>
          <w:numId w:val="15"/>
        </w:numPr>
        <w:spacing w:before="360"/>
        <w:outlineLvl w:val="0"/>
        <w:rPr>
          <w:rStyle w:val="Heading1Char"/>
          <w:rFonts w:eastAsia="MS Mincho"/>
        </w:rPr>
      </w:pPr>
      <w:r w:rsidRPr="009A390D">
        <w:rPr>
          <w:rStyle w:val="Heading1Char"/>
          <w:rFonts w:eastAsia="MS Mincho"/>
        </w:rPr>
        <w:t>Obligation to prohibit and eliminate discrimination in the form of gender based violence</w:t>
      </w:r>
    </w:p>
    <w:p w:rsidR="00987552" w:rsidRPr="00507902" w:rsidRDefault="00987552" w:rsidP="006470B5">
      <w:pPr>
        <w:pStyle w:val="ListParagraph"/>
        <w:numPr>
          <w:ilvl w:val="0"/>
          <w:numId w:val="16"/>
        </w:numPr>
        <w:autoSpaceDE w:val="0"/>
        <w:autoSpaceDN w:val="0"/>
        <w:adjustRightInd w:val="0"/>
        <w:spacing w:before="0" w:after="0"/>
        <w:rPr>
          <w:rFonts w:cs="Arial"/>
          <w:sz w:val="19"/>
          <w:szCs w:val="19"/>
        </w:rPr>
      </w:pPr>
      <w:r w:rsidRPr="00507902">
        <w:rPr>
          <w:rFonts w:cs="Arial"/>
        </w:rPr>
        <w:t xml:space="preserve">Article 2 of </w:t>
      </w:r>
      <w:r w:rsidR="0069376C" w:rsidRPr="007157AD">
        <w:rPr>
          <w:rFonts w:cs="Arial"/>
          <w:i/>
          <w:iCs/>
        </w:rPr>
        <w:t>Convention on the Elimination of All Forms of Discrimination Against Women</w:t>
      </w:r>
      <w:r w:rsidR="0069376C" w:rsidRPr="00507902">
        <w:rPr>
          <w:rFonts w:cs="Arial"/>
        </w:rPr>
        <w:t xml:space="preserve"> </w:t>
      </w:r>
      <w:r w:rsidRPr="00507902">
        <w:rPr>
          <w:rFonts w:cs="Arial"/>
        </w:rPr>
        <w:t>imposes an obligation on States to prohibit discrimination against women, to establish legal protection of the rights of women on an equal basis with men and to take all appropriate measures to eliminate discrimination against women by any person, organization or enterprise.</w:t>
      </w:r>
      <w:r w:rsidR="0069376C">
        <w:rPr>
          <w:rStyle w:val="FootnoteReference"/>
          <w:rFonts w:cs="Arial"/>
        </w:rPr>
        <w:footnoteReference w:id="10"/>
      </w:r>
    </w:p>
    <w:p w:rsidR="00987552" w:rsidRPr="00507902" w:rsidRDefault="00987552" w:rsidP="006470B5">
      <w:pPr>
        <w:numPr>
          <w:ilvl w:val="0"/>
          <w:numId w:val="16"/>
        </w:numPr>
        <w:autoSpaceDE w:val="0"/>
        <w:autoSpaceDN w:val="0"/>
        <w:adjustRightInd w:val="0"/>
        <w:ind w:left="714" w:hanging="357"/>
        <w:rPr>
          <w:rFonts w:cs="Arial"/>
        </w:rPr>
      </w:pPr>
      <w:r w:rsidRPr="00507902">
        <w:rPr>
          <w:rFonts w:cs="Arial"/>
        </w:rPr>
        <w:t xml:space="preserve">Discrimination against women includes gender-based violence. Domestic violence is gender-based violence. While domestic violence can be perpetrated against men and women, women are overwhelmingly affected. In Australia one in three women has experienced physical violence since the age </w:t>
      </w:r>
      <w:r w:rsidRPr="00507902">
        <w:rPr>
          <w:rFonts w:cs="Arial"/>
        </w:rPr>
        <w:lastRenderedPageBreak/>
        <w:t>of 15.</w:t>
      </w:r>
      <w:r w:rsidRPr="001C64DC">
        <w:rPr>
          <w:rStyle w:val="FootnoteReference"/>
        </w:rPr>
        <w:footnoteReference w:id="11"/>
      </w:r>
      <w:r w:rsidRPr="00507902">
        <w:rPr>
          <w:rFonts w:cs="Arial"/>
        </w:rPr>
        <w:t xml:space="preserve"> Of these women, over </w:t>
      </w:r>
      <w:r w:rsidR="00535E0F">
        <w:rPr>
          <w:rFonts w:cs="Arial"/>
        </w:rPr>
        <w:t>40%</w:t>
      </w:r>
      <w:r w:rsidRPr="00507902">
        <w:rPr>
          <w:rFonts w:cs="Arial"/>
        </w:rPr>
        <w:t xml:space="preserve"> experienced the violence at the hands of a current or former partner.</w:t>
      </w:r>
      <w:r w:rsidRPr="00507902">
        <w:rPr>
          <w:rFonts w:cs="Arial"/>
          <w:sz w:val="20"/>
          <w:vertAlign w:val="superscript"/>
        </w:rPr>
        <w:footnoteReference w:id="12"/>
      </w:r>
    </w:p>
    <w:p w:rsidR="00987552" w:rsidRPr="00507902" w:rsidRDefault="00987552" w:rsidP="006470B5">
      <w:pPr>
        <w:numPr>
          <w:ilvl w:val="0"/>
          <w:numId w:val="16"/>
        </w:numPr>
        <w:autoSpaceDE w:val="0"/>
        <w:autoSpaceDN w:val="0"/>
        <w:adjustRightInd w:val="0"/>
        <w:spacing w:before="0"/>
        <w:rPr>
          <w:rFonts w:cs="Arial"/>
        </w:rPr>
      </w:pPr>
      <w:r w:rsidRPr="00507902">
        <w:rPr>
          <w:rFonts w:cs="Arial"/>
        </w:rPr>
        <w:t>Every week in Australia approximately one woman is killed by her current or former partner,</w:t>
      </w:r>
      <w:r w:rsidRPr="00507902">
        <w:rPr>
          <w:rFonts w:cs="Arial"/>
          <w:sz w:val="20"/>
          <w:vertAlign w:val="superscript"/>
        </w:rPr>
        <w:footnoteReference w:id="13"/>
      </w:r>
      <w:r w:rsidRPr="00507902">
        <w:rPr>
          <w:rFonts w:cs="Arial"/>
        </w:rPr>
        <w:t xml:space="preserve"> often after a history of domestic violence.</w:t>
      </w:r>
      <w:r w:rsidRPr="00507902">
        <w:rPr>
          <w:rFonts w:cs="Arial"/>
          <w:sz w:val="20"/>
          <w:vertAlign w:val="superscript"/>
        </w:rPr>
        <w:footnoteReference w:id="14"/>
      </w:r>
      <w:r w:rsidRPr="00507902">
        <w:rPr>
          <w:rFonts w:cs="Arial"/>
        </w:rPr>
        <w:t xml:space="preserve"> Violence is a leading cause of disability and death among 15-45 year olds.</w:t>
      </w:r>
      <w:r w:rsidRPr="00507902">
        <w:rPr>
          <w:rFonts w:cs="Arial"/>
          <w:sz w:val="20"/>
          <w:vertAlign w:val="superscript"/>
        </w:rPr>
        <w:footnoteReference w:id="15"/>
      </w:r>
      <w:r w:rsidRPr="00507902">
        <w:rPr>
          <w:rFonts w:cs="Arial"/>
        </w:rPr>
        <w:t xml:space="preserve"> Intimate partner homicides account for one fifth of all homicides.</w:t>
      </w:r>
      <w:r w:rsidRPr="00507902">
        <w:rPr>
          <w:rFonts w:cs="Arial"/>
          <w:sz w:val="20"/>
          <w:vertAlign w:val="superscript"/>
        </w:rPr>
        <w:footnoteReference w:id="16"/>
      </w:r>
    </w:p>
    <w:p w:rsidR="00987552" w:rsidRPr="00507902" w:rsidRDefault="00987552" w:rsidP="006470B5">
      <w:pPr>
        <w:numPr>
          <w:ilvl w:val="0"/>
          <w:numId w:val="16"/>
        </w:numPr>
        <w:autoSpaceDE w:val="0"/>
        <w:autoSpaceDN w:val="0"/>
        <w:adjustRightInd w:val="0"/>
        <w:spacing w:before="0"/>
        <w:rPr>
          <w:rFonts w:cs="Arial"/>
        </w:rPr>
      </w:pPr>
      <w:r w:rsidRPr="00507902">
        <w:rPr>
          <w:rFonts w:cs="Arial"/>
        </w:rPr>
        <w:t>Indigenous women in Australia are 45 times more likely to be victims of domestic violence than non-Indigenous women.</w:t>
      </w:r>
      <w:r w:rsidRPr="00507902">
        <w:rPr>
          <w:rFonts w:cs="Arial"/>
          <w:sz w:val="20"/>
          <w:vertAlign w:val="superscript"/>
        </w:rPr>
        <w:footnoteReference w:id="17"/>
      </w:r>
    </w:p>
    <w:p w:rsidR="00276358" w:rsidRPr="00507902" w:rsidRDefault="00987552" w:rsidP="006470B5">
      <w:pPr>
        <w:numPr>
          <w:ilvl w:val="0"/>
          <w:numId w:val="16"/>
        </w:numPr>
        <w:autoSpaceDE w:val="0"/>
        <w:autoSpaceDN w:val="0"/>
        <w:adjustRightInd w:val="0"/>
        <w:spacing w:before="0"/>
        <w:rPr>
          <w:rFonts w:cs="Arial"/>
        </w:rPr>
      </w:pPr>
      <w:r w:rsidRPr="00507902">
        <w:rPr>
          <w:rFonts w:cs="Arial"/>
        </w:rPr>
        <w:t>In the Concluding Observations issued in 2006 (and again in 2010) on Australia's report on the implementation of CEDAW, the Committee raised concerns about the prevalence of violence against women and the low rates of reporting prosecutions and convictions in sexual assault cases. The Committee was concerned that laws that protect victims of violence and require perpetrators of domestic violence to leave the family home were not regularly enforced. In particular, the Committee was concerned about the high levels of violence against women, particularly domestic violence, in indigenous, refugee and migrant communities.</w:t>
      </w:r>
      <w:r w:rsidRPr="00507902">
        <w:rPr>
          <w:rFonts w:cs="Arial"/>
          <w:sz w:val="20"/>
          <w:vertAlign w:val="superscript"/>
        </w:rPr>
        <w:footnoteReference w:id="18"/>
      </w:r>
    </w:p>
    <w:p w:rsidR="00276358" w:rsidRPr="00507902" w:rsidRDefault="00276358" w:rsidP="006470B5">
      <w:pPr>
        <w:numPr>
          <w:ilvl w:val="0"/>
          <w:numId w:val="16"/>
        </w:numPr>
        <w:autoSpaceDE w:val="0"/>
        <w:autoSpaceDN w:val="0"/>
        <w:adjustRightInd w:val="0"/>
        <w:spacing w:before="0"/>
        <w:rPr>
          <w:rFonts w:cs="Arial"/>
        </w:rPr>
      </w:pPr>
      <w:r w:rsidRPr="00507902">
        <w:rPr>
          <w:rFonts w:cs="Arial"/>
        </w:rPr>
        <w:t>The CEDAW Committee has noted that women’s human rights to life and to physical and mental integrity cannot be superseded by other rights [of the perpetrator], including the right to property and the right to privacy.</w:t>
      </w:r>
      <w:r w:rsidRPr="00507902">
        <w:rPr>
          <w:rStyle w:val="FootnoteReference"/>
          <w:rFonts w:cs="Arial"/>
        </w:rPr>
        <w:footnoteReference w:id="19"/>
      </w:r>
    </w:p>
    <w:p w:rsidR="00987552" w:rsidRPr="009A390D" w:rsidRDefault="00987552" w:rsidP="006470B5">
      <w:pPr>
        <w:keepNext/>
        <w:keepLines/>
        <w:numPr>
          <w:ilvl w:val="0"/>
          <w:numId w:val="15"/>
        </w:numPr>
        <w:spacing w:before="360"/>
        <w:outlineLvl w:val="0"/>
        <w:rPr>
          <w:rStyle w:val="Heading1Char"/>
          <w:rFonts w:eastAsia="MS Mincho"/>
        </w:rPr>
      </w:pPr>
      <w:r w:rsidRPr="009A390D">
        <w:rPr>
          <w:rStyle w:val="Heading1Char"/>
          <w:rFonts w:eastAsia="MS Mincho"/>
        </w:rPr>
        <w:t>Obligation to protect life and to prevent death</w:t>
      </w:r>
    </w:p>
    <w:p w:rsidR="00987552" w:rsidRPr="00507902" w:rsidRDefault="00987552" w:rsidP="006470B5">
      <w:pPr>
        <w:numPr>
          <w:ilvl w:val="0"/>
          <w:numId w:val="16"/>
        </w:numPr>
        <w:autoSpaceDE w:val="0"/>
        <w:autoSpaceDN w:val="0"/>
        <w:adjustRightInd w:val="0"/>
        <w:spacing w:before="0"/>
        <w:rPr>
          <w:rFonts w:cs="Arial"/>
        </w:rPr>
      </w:pPr>
      <w:r w:rsidRPr="00507902">
        <w:rPr>
          <w:rFonts w:cs="Arial"/>
        </w:rPr>
        <w:t xml:space="preserve">The right to life is provided for by article 6(1) of the </w:t>
      </w:r>
      <w:r w:rsidR="00535E0F" w:rsidRPr="002043C5">
        <w:rPr>
          <w:rFonts w:cs="Arial"/>
          <w:i/>
          <w:iCs/>
        </w:rPr>
        <w:t>International Covenant on Civil and Political Rights</w:t>
      </w:r>
      <w:r w:rsidR="00535E0F" w:rsidRPr="00507902">
        <w:rPr>
          <w:rFonts w:cs="Arial"/>
        </w:rPr>
        <w:t xml:space="preserve"> </w:t>
      </w:r>
      <w:r w:rsidR="00535E0F">
        <w:rPr>
          <w:rFonts w:cs="Arial"/>
        </w:rPr>
        <w:t>(</w:t>
      </w:r>
      <w:r w:rsidRPr="00507902">
        <w:rPr>
          <w:rFonts w:cs="Arial"/>
        </w:rPr>
        <w:t>ICCPR</w:t>
      </w:r>
      <w:r w:rsidR="00535E0F">
        <w:rPr>
          <w:rFonts w:cs="Arial"/>
        </w:rPr>
        <w:t>)</w:t>
      </w:r>
      <w:r w:rsidRPr="00507902">
        <w:rPr>
          <w:rFonts w:cs="Arial"/>
        </w:rPr>
        <w:t xml:space="preserve"> as follows:</w:t>
      </w:r>
    </w:p>
    <w:p w:rsidR="00987552" w:rsidRPr="00507902" w:rsidRDefault="00987552" w:rsidP="00987552">
      <w:pPr>
        <w:ind w:left="1080"/>
        <w:rPr>
          <w:rFonts w:cs="Arial"/>
        </w:rPr>
      </w:pPr>
      <w:r w:rsidRPr="00507902">
        <w:rPr>
          <w:rFonts w:cs="Arial"/>
          <w:sz w:val="22"/>
          <w:szCs w:val="22"/>
        </w:rPr>
        <w:t>Every human being has the inherent right to life. This right shall be protected by law. No one shall be arbitrarily deprived of his life.</w:t>
      </w:r>
      <w:r w:rsidR="00535E0F">
        <w:rPr>
          <w:rStyle w:val="FootnoteReference"/>
          <w:rFonts w:cs="Arial"/>
          <w:szCs w:val="22"/>
        </w:rPr>
        <w:footnoteReference w:id="20"/>
      </w:r>
    </w:p>
    <w:p w:rsidR="00987552" w:rsidRPr="00507902" w:rsidRDefault="00987552" w:rsidP="006470B5">
      <w:pPr>
        <w:numPr>
          <w:ilvl w:val="0"/>
          <w:numId w:val="16"/>
        </w:numPr>
        <w:autoSpaceDE w:val="0"/>
        <w:autoSpaceDN w:val="0"/>
        <w:adjustRightInd w:val="0"/>
        <w:spacing w:before="0"/>
        <w:rPr>
          <w:rFonts w:cs="Arial"/>
        </w:rPr>
      </w:pPr>
      <w:r w:rsidRPr="00507902">
        <w:rPr>
          <w:rFonts w:cs="Arial"/>
        </w:rPr>
        <w:lastRenderedPageBreak/>
        <w:t xml:space="preserve">Consequent upon the obligation to protect life, there is a positive duty to prevent death. </w:t>
      </w:r>
    </w:p>
    <w:p w:rsidR="00987552" w:rsidRPr="00507902" w:rsidRDefault="00987552" w:rsidP="006470B5">
      <w:pPr>
        <w:numPr>
          <w:ilvl w:val="0"/>
          <w:numId w:val="16"/>
        </w:numPr>
        <w:autoSpaceDE w:val="0"/>
        <w:autoSpaceDN w:val="0"/>
        <w:adjustRightInd w:val="0"/>
        <w:spacing w:before="0"/>
        <w:rPr>
          <w:rFonts w:cs="Arial"/>
          <w:sz w:val="22"/>
          <w:szCs w:val="22"/>
        </w:rPr>
      </w:pPr>
      <w:r w:rsidRPr="00507902">
        <w:rPr>
          <w:rFonts w:cs="Arial"/>
        </w:rPr>
        <w:t>This positive obligation to protect life has been found to be violated in the context of domestic violence in a number of international cases.</w:t>
      </w:r>
      <w:r w:rsidRPr="00507902">
        <w:rPr>
          <w:rFonts w:cs="Arial"/>
          <w:sz w:val="20"/>
          <w:vertAlign w:val="superscript"/>
        </w:rPr>
        <w:footnoteReference w:id="21"/>
      </w:r>
    </w:p>
    <w:p w:rsidR="00987552" w:rsidRPr="00507902" w:rsidRDefault="00987552" w:rsidP="006470B5">
      <w:pPr>
        <w:numPr>
          <w:ilvl w:val="0"/>
          <w:numId w:val="16"/>
        </w:numPr>
        <w:autoSpaceDE w:val="0"/>
        <w:autoSpaceDN w:val="0"/>
        <w:adjustRightInd w:val="0"/>
        <w:spacing w:before="0"/>
        <w:rPr>
          <w:rFonts w:cs="Arial"/>
          <w:sz w:val="22"/>
          <w:szCs w:val="22"/>
        </w:rPr>
      </w:pPr>
      <w:r w:rsidRPr="00507902">
        <w:rPr>
          <w:rFonts w:cs="Arial"/>
        </w:rPr>
        <w:t xml:space="preserve">In </w:t>
      </w:r>
      <w:r w:rsidRPr="00507902">
        <w:rPr>
          <w:rFonts w:cs="Arial"/>
          <w:i/>
        </w:rPr>
        <w:t xml:space="preserve">Opuz v Turkey </w:t>
      </w:r>
      <w:r w:rsidRPr="00507902">
        <w:rPr>
          <w:rFonts w:cs="Arial"/>
        </w:rPr>
        <w:t>the European Court of Human Rights (ECHR) has held that for a positive obligation to arise:</w:t>
      </w:r>
      <w:r w:rsidRPr="00507902">
        <w:rPr>
          <w:rFonts w:cs="Arial"/>
          <w:sz w:val="20"/>
          <w:vertAlign w:val="superscript"/>
        </w:rPr>
        <w:footnoteReference w:id="22"/>
      </w:r>
    </w:p>
    <w:p w:rsidR="00987552" w:rsidRPr="00507902" w:rsidRDefault="00987552" w:rsidP="00535E0F">
      <w:pPr>
        <w:autoSpaceDE w:val="0"/>
        <w:autoSpaceDN w:val="0"/>
        <w:adjustRightInd w:val="0"/>
        <w:spacing w:before="0" w:after="0"/>
        <w:ind w:left="851"/>
        <w:rPr>
          <w:rFonts w:eastAsia="MS Mincho" w:cs="Arial"/>
          <w:sz w:val="23"/>
          <w:szCs w:val="23"/>
        </w:rPr>
      </w:pPr>
      <w:r w:rsidRPr="00507902">
        <w:rPr>
          <w:rFonts w:eastAsia="MS Mincho" w:cs="Arial"/>
          <w:sz w:val="23"/>
          <w:szCs w:val="23"/>
        </w:rPr>
        <w:t>it must be established that the authorities knew or ought to have known at the time of the existence of a real and immediate risk to the life of an identified individual from the criminal acts of a third party and that they failed to take measures within the scope of their powers which, judged reasonably, might have been expected to avoid that risk.</w:t>
      </w:r>
    </w:p>
    <w:p w:rsidR="00305006" w:rsidRPr="00DA47AD" w:rsidRDefault="00305006" w:rsidP="00305006">
      <w:pPr>
        <w:pStyle w:val="Heading2"/>
        <w:rPr>
          <w:rFonts w:eastAsia="MS Mincho"/>
        </w:rPr>
      </w:pPr>
      <w:r>
        <w:rPr>
          <w:rFonts w:eastAsia="MS Mincho"/>
        </w:rPr>
        <w:t>Training</w:t>
      </w:r>
    </w:p>
    <w:p w:rsidR="00305006" w:rsidRPr="00987552" w:rsidRDefault="00305006" w:rsidP="00305006">
      <w:pPr>
        <w:numPr>
          <w:ilvl w:val="0"/>
          <w:numId w:val="16"/>
        </w:numPr>
        <w:autoSpaceDE w:val="0"/>
        <w:autoSpaceDN w:val="0"/>
        <w:adjustRightInd w:val="0"/>
        <w:spacing w:before="0"/>
        <w:rPr>
          <w:rFonts w:cs="Arial"/>
        </w:rPr>
      </w:pPr>
      <w:r w:rsidRPr="00987552">
        <w:rPr>
          <w:rFonts w:cs="Arial"/>
        </w:rPr>
        <w:t xml:space="preserve">A further element of </w:t>
      </w:r>
      <w:r>
        <w:rPr>
          <w:rFonts w:cs="Arial"/>
        </w:rPr>
        <w:t>the duty to protect life</w:t>
      </w:r>
      <w:r w:rsidRPr="00987552">
        <w:rPr>
          <w:rFonts w:cs="Arial"/>
        </w:rPr>
        <w:t xml:space="preserve"> is to provide appropriate training of personnel, such as police and custodial officers, to ensure that the right to life is adequately protected. </w:t>
      </w:r>
      <w:r>
        <w:rPr>
          <w:rFonts w:cs="Arial"/>
        </w:rPr>
        <w:t xml:space="preserve">The CEDAW Committee has recommended that </w:t>
      </w:r>
      <w:r>
        <w:t>States parties</w:t>
      </w:r>
      <w:r>
        <w:rPr>
          <w:rFonts w:cs="Arial"/>
        </w:rPr>
        <w:t xml:space="preserve"> provide gender-sensitive training for law enforcement officials.</w:t>
      </w:r>
      <w:r>
        <w:rPr>
          <w:rStyle w:val="FootnoteReference"/>
          <w:rFonts w:cs="Arial"/>
        </w:rPr>
        <w:footnoteReference w:id="23"/>
      </w:r>
      <w:r>
        <w:rPr>
          <w:rFonts w:cs="Arial"/>
        </w:rPr>
        <w:t xml:space="preserve">  </w:t>
      </w:r>
    </w:p>
    <w:p w:rsidR="00305006" w:rsidRPr="003528E1" w:rsidRDefault="00305006" w:rsidP="00305006">
      <w:pPr>
        <w:numPr>
          <w:ilvl w:val="0"/>
          <w:numId w:val="16"/>
        </w:numPr>
        <w:autoSpaceDE w:val="0"/>
        <w:autoSpaceDN w:val="0"/>
        <w:adjustRightInd w:val="0"/>
        <w:spacing w:before="0"/>
        <w:rPr>
          <w:rFonts w:cs="Arial"/>
        </w:rPr>
      </w:pPr>
      <w:r>
        <w:rPr>
          <w:rFonts w:cs="Arial"/>
        </w:rPr>
        <w:t xml:space="preserve">In </w:t>
      </w:r>
      <w:r w:rsidRPr="00D12A73">
        <w:rPr>
          <w:rFonts w:cs="Arial"/>
          <w:i/>
        </w:rPr>
        <w:t>V</w:t>
      </w:r>
      <w:r>
        <w:rPr>
          <w:rFonts w:cs="Arial"/>
          <w:i/>
        </w:rPr>
        <w:t>.</w:t>
      </w:r>
      <w:r w:rsidRPr="00D12A73">
        <w:rPr>
          <w:rFonts w:cs="Arial"/>
          <w:i/>
        </w:rPr>
        <w:t>K</w:t>
      </w:r>
      <w:r>
        <w:rPr>
          <w:rFonts w:cs="Arial"/>
          <w:i/>
        </w:rPr>
        <w:t>.</w:t>
      </w:r>
      <w:r w:rsidRPr="00D12A73">
        <w:rPr>
          <w:rFonts w:cs="Arial"/>
          <w:i/>
        </w:rPr>
        <w:t xml:space="preserve"> v Bulgaria</w:t>
      </w:r>
      <w:r>
        <w:rPr>
          <w:rStyle w:val="FootnoteReference"/>
          <w:rFonts w:cs="Arial"/>
          <w:i/>
        </w:rPr>
        <w:footnoteReference w:id="24"/>
      </w:r>
      <w:r>
        <w:rPr>
          <w:rFonts w:cs="Arial"/>
        </w:rPr>
        <w:t xml:space="preserve"> the CEDAW Committee having found the State to have failed t</w:t>
      </w:r>
      <w:r>
        <w:rPr>
          <w:lang w:val="en"/>
        </w:rPr>
        <w:t xml:space="preserve">o protect V.K. effectively against domestic violence recommended that mandatory training be provided for law enforcement personnel on, inter alia, the definition of domestic violence and on gender stereotypes. </w:t>
      </w:r>
    </w:p>
    <w:p w:rsidR="00305006" w:rsidRPr="000D15B2" w:rsidRDefault="00305006" w:rsidP="00305006">
      <w:pPr>
        <w:numPr>
          <w:ilvl w:val="0"/>
          <w:numId w:val="16"/>
        </w:numPr>
        <w:autoSpaceDE w:val="0"/>
        <w:autoSpaceDN w:val="0"/>
        <w:adjustRightInd w:val="0"/>
        <w:spacing w:before="0"/>
        <w:rPr>
          <w:rFonts w:cs="Arial"/>
        </w:rPr>
      </w:pPr>
      <w:r>
        <w:rPr>
          <w:rFonts w:cs="Arial"/>
        </w:rPr>
        <w:t>Given the incidence of domestic violence involving Aboriginal women, the training should ensure that frontline officers dealing with Aboriginal victims are culturally competent. This requires more than cultural ‘awareness’.</w:t>
      </w:r>
      <w:r>
        <w:rPr>
          <w:rStyle w:val="FootnoteReference"/>
          <w:rFonts w:cs="Arial"/>
        </w:rPr>
        <w:footnoteReference w:id="25"/>
      </w:r>
    </w:p>
    <w:p w:rsidR="00987552" w:rsidRPr="009A390D" w:rsidRDefault="00987552" w:rsidP="006470B5">
      <w:pPr>
        <w:keepNext/>
        <w:keepLines/>
        <w:numPr>
          <w:ilvl w:val="0"/>
          <w:numId w:val="15"/>
        </w:numPr>
        <w:spacing w:before="360"/>
        <w:outlineLvl w:val="0"/>
        <w:rPr>
          <w:rStyle w:val="Heading1Char"/>
          <w:rFonts w:eastAsia="MS Mincho"/>
        </w:rPr>
      </w:pPr>
      <w:r w:rsidRPr="009A390D">
        <w:rPr>
          <w:rStyle w:val="Heading1Char"/>
          <w:rFonts w:eastAsia="MS Mincho"/>
        </w:rPr>
        <w:lastRenderedPageBreak/>
        <w:t>Overarching duty of Due Diligence: the duty to protect and prevent</w:t>
      </w:r>
    </w:p>
    <w:p w:rsidR="00987552" w:rsidRPr="00507902" w:rsidRDefault="00987552" w:rsidP="006470B5">
      <w:pPr>
        <w:numPr>
          <w:ilvl w:val="0"/>
          <w:numId w:val="16"/>
        </w:numPr>
        <w:autoSpaceDE w:val="0"/>
        <w:autoSpaceDN w:val="0"/>
        <w:adjustRightInd w:val="0"/>
        <w:spacing w:before="0"/>
        <w:rPr>
          <w:rFonts w:cs="Arial"/>
        </w:rPr>
      </w:pPr>
      <w:r w:rsidRPr="00507902">
        <w:rPr>
          <w:rFonts w:cs="Arial"/>
        </w:rPr>
        <w:t>States</w:t>
      </w:r>
      <w:r w:rsidR="00535E0F">
        <w:rPr>
          <w:rFonts w:cs="Arial"/>
        </w:rPr>
        <w:t xml:space="preserve"> are obliged </w:t>
      </w:r>
      <w:r w:rsidRPr="00507902">
        <w:rPr>
          <w:rFonts w:cs="Arial"/>
        </w:rPr>
        <w:t>to prevent and respond to acts of violence against women with due diligence.</w:t>
      </w:r>
      <w:r w:rsidRPr="001C64DC">
        <w:rPr>
          <w:rStyle w:val="FootnoteReference"/>
        </w:rPr>
        <w:footnoteReference w:id="26"/>
      </w:r>
      <w:r w:rsidRPr="00507902">
        <w:rPr>
          <w:rFonts w:cs="Arial"/>
        </w:rPr>
        <w:t xml:space="preserve"> </w:t>
      </w:r>
    </w:p>
    <w:p w:rsidR="0052438C" w:rsidRPr="00A76D31" w:rsidRDefault="0052438C" w:rsidP="0052438C">
      <w:pPr>
        <w:pStyle w:val="Heading2"/>
      </w:pPr>
      <w:r w:rsidRPr="00A76D31">
        <w:t>Obligation to protect</w:t>
      </w:r>
    </w:p>
    <w:p w:rsidR="0052438C" w:rsidRPr="00507902" w:rsidRDefault="0052438C" w:rsidP="0052438C">
      <w:pPr>
        <w:numPr>
          <w:ilvl w:val="0"/>
          <w:numId w:val="16"/>
        </w:numPr>
        <w:autoSpaceDE w:val="0"/>
        <w:autoSpaceDN w:val="0"/>
        <w:adjustRightInd w:val="0"/>
        <w:spacing w:before="0"/>
        <w:rPr>
          <w:rFonts w:eastAsia="MS Mincho" w:cs="Arial"/>
        </w:rPr>
      </w:pPr>
      <w:r w:rsidRPr="00507902">
        <w:rPr>
          <w:rFonts w:cs="Arial"/>
        </w:rPr>
        <w:t xml:space="preserve">The obligation to protect is </w:t>
      </w:r>
      <w:r w:rsidR="00D0079D">
        <w:rPr>
          <w:rFonts w:cs="Arial"/>
        </w:rPr>
        <w:t>a</w:t>
      </w:r>
      <w:r w:rsidR="00D0079D" w:rsidRPr="00507902">
        <w:rPr>
          <w:rFonts w:cs="Arial"/>
        </w:rPr>
        <w:t xml:space="preserve"> </w:t>
      </w:r>
      <w:r w:rsidRPr="00507902">
        <w:rPr>
          <w:rFonts w:cs="Arial"/>
        </w:rPr>
        <w:t>positive obligation upon States parties to exercise due diligence to protect women from violence committed by non-State actors, for instance family members. The obligation to protect includes combating a climate of impunity and silence whereby violence is socially legitimated and women suffer extreme violence without criminal accountability for perpetrators. Such impunity feeds further violence. Combating impunity requires prompt, thorough, impartial, and serious investigation of allegations of violence against women.</w:t>
      </w:r>
      <w:r w:rsidRPr="00507902">
        <w:rPr>
          <w:rStyle w:val="FootnoteReference"/>
          <w:rFonts w:cs="Arial"/>
        </w:rPr>
        <w:footnoteReference w:id="27"/>
      </w:r>
    </w:p>
    <w:p w:rsidR="0052438C" w:rsidRPr="0052438C" w:rsidRDefault="0052438C" w:rsidP="0052438C">
      <w:pPr>
        <w:numPr>
          <w:ilvl w:val="0"/>
          <w:numId w:val="16"/>
        </w:numPr>
        <w:autoSpaceDE w:val="0"/>
        <w:autoSpaceDN w:val="0"/>
        <w:adjustRightInd w:val="0"/>
        <w:spacing w:before="0"/>
        <w:rPr>
          <w:rFonts w:eastAsia="MS Mincho" w:cs="Arial"/>
        </w:rPr>
      </w:pPr>
      <w:r w:rsidRPr="00507902">
        <w:rPr>
          <w:rFonts w:cs="Arial"/>
        </w:rPr>
        <w:t>Where there is a known and real risk to a person’s life, then the right to life is paramount and it is reasonable to limit the rights of the alleged perpetrator in order to protect the life of a victim/survivor of domestic/family violence.</w:t>
      </w:r>
      <w:r w:rsidRPr="00507902">
        <w:rPr>
          <w:rStyle w:val="FootnoteReference"/>
          <w:rFonts w:cs="Arial"/>
        </w:rPr>
        <w:footnoteReference w:id="28"/>
      </w:r>
    </w:p>
    <w:p w:rsidR="0052438C" w:rsidRPr="00A76D31" w:rsidRDefault="0052438C" w:rsidP="0052438C">
      <w:pPr>
        <w:pStyle w:val="Heading2"/>
        <w:rPr>
          <w:rFonts w:eastAsia="MS Mincho"/>
        </w:rPr>
      </w:pPr>
      <w:r w:rsidRPr="00A76D31">
        <w:rPr>
          <w:rFonts w:eastAsia="MS Mincho"/>
        </w:rPr>
        <w:t>Access to services and safe housing</w:t>
      </w:r>
    </w:p>
    <w:p w:rsidR="0052438C" w:rsidRPr="0052438C" w:rsidRDefault="0052438C" w:rsidP="0052438C">
      <w:pPr>
        <w:numPr>
          <w:ilvl w:val="0"/>
          <w:numId w:val="16"/>
        </w:numPr>
        <w:autoSpaceDE w:val="0"/>
        <w:autoSpaceDN w:val="0"/>
        <w:adjustRightInd w:val="0"/>
        <w:spacing w:before="0"/>
        <w:rPr>
          <w:rFonts w:cs="Arial"/>
        </w:rPr>
      </w:pPr>
      <w:r w:rsidRPr="00507902">
        <w:rPr>
          <w:rFonts w:cs="Arial"/>
        </w:rPr>
        <w:t>The CEDAW Committee has also determined that the unavailability of shelters to women and children seeking protection from domestic violence, constitutes a violation of the State party’s obligation under article 2 (c) and (e) of CEDAW to provide for the immediate protection of women from violenc</w:t>
      </w:r>
      <w:r>
        <w:rPr>
          <w:rFonts w:cs="Arial"/>
        </w:rPr>
        <w:t>e, including domestic violence.</w:t>
      </w:r>
      <w:r w:rsidRPr="001C64DC">
        <w:rPr>
          <w:rStyle w:val="FootnoteReference"/>
        </w:rPr>
        <w:footnoteReference w:id="29"/>
      </w:r>
    </w:p>
    <w:p w:rsidR="0052438C" w:rsidRPr="00A76D31" w:rsidRDefault="0052438C" w:rsidP="0052438C">
      <w:pPr>
        <w:pStyle w:val="Heading2"/>
      </w:pPr>
      <w:r w:rsidRPr="00A76D31">
        <w:t xml:space="preserve">Obligation to </w:t>
      </w:r>
      <w:r>
        <w:t>prevent</w:t>
      </w:r>
    </w:p>
    <w:p w:rsidR="00C266B8" w:rsidRPr="00507902" w:rsidRDefault="00C266B8" w:rsidP="006470B5">
      <w:pPr>
        <w:pStyle w:val="ListParagraph"/>
        <w:numPr>
          <w:ilvl w:val="0"/>
          <w:numId w:val="16"/>
        </w:numPr>
        <w:autoSpaceDE w:val="0"/>
        <w:autoSpaceDN w:val="0"/>
        <w:adjustRightInd w:val="0"/>
        <w:spacing w:before="0" w:after="0"/>
        <w:rPr>
          <w:rFonts w:cs="Arial"/>
        </w:rPr>
      </w:pPr>
      <w:r w:rsidRPr="00507902">
        <w:rPr>
          <w:rFonts w:cs="Arial"/>
        </w:rPr>
        <w:t>The CEDAW Committee has also confirmed that States parties have a due diligence obligation to prevent, investigate, prosecute and punish acts of gender-based violence.</w:t>
      </w:r>
      <w:r w:rsidRPr="001C64DC">
        <w:rPr>
          <w:rStyle w:val="FootnoteReference"/>
          <w:rFonts w:eastAsia="Times New Roman"/>
        </w:rPr>
        <w:footnoteReference w:id="30"/>
      </w:r>
      <w:r w:rsidRPr="001C64DC">
        <w:rPr>
          <w:rStyle w:val="FootnoteReference"/>
          <w:rFonts w:eastAsia="Times New Roman"/>
        </w:rPr>
        <w:t xml:space="preserve"> </w:t>
      </w:r>
      <w:r w:rsidRPr="00507902">
        <w:rPr>
          <w:rFonts w:cs="Arial"/>
        </w:rPr>
        <w:t xml:space="preserve">The Committee has noted that under general international law and specific human rights covenants, States may also be </w:t>
      </w:r>
      <w:r w:rsidRPr="00507902">
        <w:rPr>
          <w:rFonts w:cs="Arial"/>
        </w:rPr>
        <w:lastRenderedPageBreak/>
        <w:t>responsible for private acts if they fail to act with due diligence to prevent violations of rights or to investigate and punish acts of violence, and for providing compensation.</w:t>
      </w:r>
      <w:r w:rsidRPr="00507902">
        <w:rPr>
          <w:rStyle w:val="FootnoteReference"/>
          <w:rFonts w:cs="Arial"/>
        </w:rPr>
        <w:footnoteReference w:id="31"/>
      </w:r>
    </w:p>
    <w:p w:rsidR="00850CC5" w:rsidRDefault="00C266B8" w:rsidP="00850CC5">
      <w:pPr>
        <w:pStyle w:val="ListParagraph"/>
        <w:numPr>
          <w:ilvl w:val="0"/>
          <w:numId w:val="16"/>
        </w:numPr>
        <w:rPr>
          <w:rFonts w:cs="Arial"/>
        </w:rPr>
      </w:pPr>
      <w:r w:rsidRPr="00507902">
        <w:rPr>
          <w:rFonts w:cs="Arial"/>
        </w:rPr>
        <w:t xml:space="preserve">The </w:t>
      </w:r>
      <w:r w:rsidR="00EE5973" w:rsidRPr="00507902">
        <w:rPr>
          <w:rFonts w:cs="Arial"/>
        </w:rPr>
        <w:t>UN D</w:t>
      </w:r>
      <w:r w:rsidRPr="00507902">
        <w:rPr>
          <w:rFonts w:cs="Arial"/>
        </w:rPr>
        <w:t xml:space="preserve">eclaration on the </w:t>
      </w:r>
      <w:r w:rsidR="00EE5973" w:rsidRPr="00507902">
        <w:rPr>
          <w:rFonts w:cs="Arial"/>
        </w:rPr>
        <w:t>Elimination of Viole</w:t>
      </w:r>
      <w:r w:rsidRPr="00507902">
        <w:rPr>
          <w:rFonts w:cs="Arial"/>
        </w:rPr>
        <w:t>nce Against Women</w:t>
      </w:r>
      <w:r w:rsidR="00850CC5">
        <w:rPr>
          <w:rStyle w:val="FootnoteReference"/>
          <w:rFonts w:cs="Arial"/>
        </w:rPr>
        <w:footnoteReference w:id="32"/>
      </w:r>
      <w:r w:rsidRPr="00507902">
        <w:rPr>
          <w:rFonts w:cs="Arial"/>
        </w:rPr>
        <w:t xml:space="preserve"> further outlines that States should pursue by all appropriate means and without delay a policy of eliminating violence against w</w:t>
      </w:r>
      <w:r w:rsidR="00EE5973" w:rsidRPr="00507902">
        <w:rPr>
          <w:rFonts w:cs="Arial"/>
        </w:rPr>
        <w:t>omen and, to this end, should:</w:t>
      </w:r>
      <w:r w:rsidRPr="00507902">
        <w:rPr>
          <w:rFonts w:cs="Arial"/>
        </w:rPr>
        <w:t xml:space="preserve"> </w:t>
      </w:r>
    </w:p>
    <w:p w:rsidR="00C266B8" w:rsidRPr="00850CC5" w:rsidRDefault="00C266B8" w:rsidP="00850CC5">
      <w:pPr>
        <w:ind w:left="1440"/>
        <w:rPr>
          <w:rFonts w:cs="Arial"/>
          <w:sz w:val="22"/>
          <w:szCs w:val="22"/>
        </w:rPr>
      </w:pPr>
      <w:r w:rsidRPr="00850CC5">
        <w:rPr>
          <w:rFonts w:cs="Arial"/>
          <w:sz w:val="22"/>
          <w:szCs w:val="22"/>
        </w:rPr>
        <w:t>Exercise due diligence to p</w:t>
      </w:r>
      <w:r w:rsidR="00EE5973" w:rsidRPr="00850CC5">
        <w:rPr>
          <w:rFonts w:cs="Arial"/>
          <w:sz w:val="22"/>
          <w:szCs w:val="22"/>
        </w:rPr>
        <w:t xml:space="preserve">revent, investigate and, in </w:t>
      </w:r>
      <w:r w:rsidRPr="00850CC5">
        <w:rPr>
          <w:rFonts w:cs="Arial"/>
          <w:sz w:val="22"/>
          <w:szCs w:val="22"/>
        </w:rPr>
        <w:t>accordance with national legislation, punish acts of violence against women, whether those acts are perpetrated by the State or by private persons.</w:t>
      </w:r>
      <w:r w:rsidRPr="00850CC5">
        <w:rPr>
          <w:rStyle w:val="FootnoteReference"/>
          <w:rFonts w:cs="Arial"/>
          <w:sz w:val="22"/>
          <w:szCs w:val="22"/>
        </w:rPr>
        <w:footnoteReference w:id="33"/>
      </w:r>
      <w:r w:rsidRPr="00850CC5">
        <w:rPr>
          <w:rFonts w:cs="Arial"/>
          <w:sz w:val="22"/>
          <w:szCs w:val="22"/>
        </w:rPr>
        <w:t xml:space="preserve"> </w:t>
      </w:r>
    </w:p>
    <w:p w:rsidR="00987552" w:rsidRPr="00507902" w:rsidRDefault="00987552" w:rsidP="006470B5">
      <w:pPr>
        <w:numPr>
          <w:ilvl w:val="0"/>
          <w:numId w:val="16"/>
        </w:numPr>
        <w:autoSpaceDE w:val="0"/>
        <w:autoSpaceDN w:val="0"/>
        <w:adjustRightInd w:val="0"/>
        <w:spacing w:before="0"/>
        <w:rPr>
          <w:rFonts w:cs="Arial"/>
        </w:rPr>
      </w:pPr>
      <w:r w:rsidRPr="00507902">
        <w:rPr>
          <w:rFonts w:cs="Arial"/>
        </w:rPr>
        <w:t>Part of that obligation is the duty to ensure that interventions designed to prevent and respond to violence against women are based on accurate empirical data. This requires reliable statistics and indicators concerning violence against women and the evaluation of interventions designed to eliminate them.</w:t>
      </w:r>
      <w:r w:rsidRPr="00507902">
        <w:rPr>
          <w:rFonts w:cs="Arial"/>
          <w:sz w:val="20"/>
          <w:vertAlign w:val="superscript"/>
        </w:rPr>
        <w:footnoteReference w:id="34"/>
      </w:r>
    </w:p>
    <w:p w:rsidR="005711FE" w:rsidRPr="00507902" w:rsidRDefault="005711FE" w:rsidP="006470B5">
      <w:pPr>
        <w:pStyle w:val="ListParagraph"/>
        <w:numPr>
          <w:ilvl w:val="0"/>
          <w:numId w:val="16"/>
        </w:numPr>
        <w:rPr>
          <w:rFonts w:cs="Arial"/>
        </w:rPr>
      </w:pPr>
      <w:r w:rsidRPr="00507902">
        <w:rPr>
          <w:rFonts w:cs="Arial"/>
        </w:rPr>
        <w:t>The standard of due diligence is high.</w:t>
      </w:r>
      <w:r w:rsidRPr="00507902">
        <w:rPr>
          <w:rStyle w:val="FootnoteReference"/>
          <w:rFonts w:cs="Arial"/>
        </w:rPr>
        <w:footnoteReference w:id="35"/>
      </w:r>
      <w:r w:rsidRPr="00507902">
        <w:rPr>
          <w:rFonts w:cs="Arial"/>
        </w:rPr>
        <w:t xml:space="preserve"> Having a system i</w:t>
      </w:r>
      <w:r w:rsidR="00DE0F89" w:rsidRPr="00507902">
        <w:rPr>
          <w:rFonts w:cs="Arial"/>
        </w:rPr>
        <w:t>n place to address the problem of domestic violence is insufficient; the system</w:t>
      </w:r>
      <w:r w:rsidRPr="00507902">
        <w:rPr>
          <w:rFonts w:cs="Arial"/>
        </w:rPr>
        <w:t xml:space="preserve"> must be put into effect by </w:t>
      </w:r>
      <w:r w:rsidR="00DE0F89" w:rsidRPr="00507902">
        <w:rPr>
          <w:rFonts w:cs="Arial"/>
        </w:rPr>
        <w:t>the State</w:t>
      </w:r>
      <w:r w:rsidR="00850CC5">
        <w:rPr>
          <w:rFonts w:cs="Arial"/>
        </w:rPr>
        <w:t>s</w:t>
      </w:r>
      <w:r w:rsidRPr="00507902">
        <w:rPr>
          <w:rFonts w:cs="Arial"/>
        </w:rPr>
        <w:t xml:space="preserve"> who understand and adhere to </w:t>
      </w:r>
      <w:r w:rsidR="00DE0F89" w:rsidRPr="00507902">
        <w:rPr>
          <w:rFonts w:cs="Arial"/>
        </w:rPr>
        <w:t>the obligation of due diligence</w:t>
      </w:r>
      <w:r w:rsidRPr="00507902">
        <w:rPr>
          <w:rFonts w:cs="Arial"/>
        </w:rPr>
        <w:t xml:space="preserve">. </w:t>
      </w:r>
      <w:r w:rsidRPr="00507902">
        <w:rPr>
          <w:rStyle w:val="FootnoteReference"/>
          <w:rFonts w:cs="Arial"/>
        </w:rPr>
        <w:footnoteReference w:id="36"/>
      </w:r>
    </w:p>
    <w:p w:rsidR="00987552" w:rsidRPr="00507902" w:rsidRDefault="00987552" w:rsidP="006470B5">
      <w:pPr>
        <w:numPr>
          <w:ilvl w:val="0"/>
          <w:numId w:val="16"/>
        </w:numPr>
        <w:autoSpaceDE w:val="0"/>
        <w:autoSpaceDN w:val="0"/>
        <w:adjustRightInd w:val="0"/>
        <w:spacing w:before="0"/>
        <w:rPr>
          <w:rFonts w:cs="Arial"/>
        </w:rPr>
      </w:pPr>
      <w:r w:rsidRPr="00507902">
        <w:rPr>
          <w:rFonts w:cs="Arial"/>
        </w:rPr>
        <w:t xml:space="preserve">The Human Rights Council has reiterated the duty of </w:t>
      </w:r>
      <w:r w:rsidR="00305006" w:rsidRPr="00507902">
        <w:rPr>
          <w:rFonts w:cs="Arial"/>
        </w:rPr>
        <w:t xml:space="preserve">States </w:t>
      </w:r>
      <w:r w:rsidRPr="00507902">
        <w:rPr>
          <w:rFonts w:cs="Arial"/>
        </w:rPr>
        <w:t>to accelerate efforts to eliminate all forms of violence by exercising due diligence to protect women against and prevent violence. To this end it has urged States to</w:t>
      </w:r>
    </w:p>
    <w:p w:rsidR="00987552" w:rsidRPr="00507902" w:rsidRDefault="00987552" w:rsidP="00987552">
      <w:pPr>
        <w:ind w:left="1440"/>
        <w:rPr>
          <w:rFonts w:cs="Arial"/>
          <w:sz w:val="22"/>
          <w:szCs w:val="22"/>
        </w:rPr>
      </w:pPr>
      <w:r w:rsidRPr="00507902">
        <w:rPr>
          <w:rFonts w:cs="Arial"/>
          <w:sz w:val="22"/>
          <w:szCs w:val="22"/>
        </w:rPr>
        <w:t>adopt and implement policies and programmes that enable women to avoid and escape situations of violence and prevent its recurrence, and that provide, inter alia, financial support and affordable access to safe housing or shelters, childcare and other social supports</w:t>
      </w:r>
      <w:r w:rsidRPr="00507902">
        <w:rPr>
          <w:rFonts w:cs="Arial"/>
          <w:sz w:val="22"/>
          <w:szCs w:val="22"/>
          <w:vertAlign w:val="superscript"/>
        </w:rPr>
        <w:footnoteReference w:id="37"/>
      </w:r>
    </w:p>
    <w:p w:rsidR="00987552" w:rsidRPr="00507902" w:rsidDel="00256D6B" w:rsidRDefault="00987552" w:rsidP="006F48E4">
      <w:pPr>
        <w:keepNext/>
        <w:ind w:left="641" w:hanging="357"/>
        <w:rPr>
          <w:rFonts w:cs="Arial"/>
        </w:rPr>
      </w:pPr>
      <w:r w:rsidRPr="00507902">
        <w:rPr>
          <w:rFonts w:cs="Arial"/>
        </w:rPr>
        <w:lastRenderedPageBreak/>
        <w:tab/>
        <w:t>and to:</w:t>
      </w:r>
    </w:p>
    <w:p w:rsidR="00987552" w:rsidRPr="00507902" w:rsidRDefault="00987552" w:rsidP="00987552">
      <w:pPr>
        <w:ind w:left="1440"/>
        <w:rPr>
          <w:rFonts w:cs="Arial"/>
          <w:sz w:val="22"/>
          <w:szCs w:val="22"/>
          <w:highlight w:val="yellow"/>
        </w:rPr>
      </w:pPr>
      <w:r w:rsidRPr="00507902">
        <w:rPr>
          <w:rFonts w:cs="Arial"/>
          <w:sz w:val="22"/>
          <w:szCs w:val="22"/>
        </w:rPr>
        <w:t>provide protection and support to women and girls who have been subjected to violence, and that failure to do so violates and impairs or nullifies the enjoyment of their human rights and fundamental freedoms.</w:t>
      </w:r>
      <w:r w:rsidRPr="00507902">
        <w:rPr>
          <w:rFonts w:cs="Arial"/>
          <w:sz w:val="22"/>
          <w:szCs w:val="22"/>
          <w:vertAlign w:val="superscript"/>
        </w:rPr>
        <w:footnoteReference w:id="38"/>
      </w:r>
    </w:p>
    <w:p w:rsidR="00987552" w:rsidRPr="00507902" w:rsidRDefault="00987552" w:rsidP="006470B5">
      <w:pPr>
        <w:numPr>
          <w:ilvl w:val="0"/>
          <w:numId w:val="16"/>
        </w:numPr>
        <w:autoSpaceDE w:val="0"/>
        <w:autoSpaceDN w:val="0"/>
        <w:adjustRightInd w:val="0"/>
        <w:spacing w:before="0"/>
        <w:rPr>
          <w:rFonts w:cs="Arial"/>
        </w:rPr>
      </w:pPr>
      <w:r w:rsidRPr="00507902">
        <w:rPr>
          <w:rFonts w:cs="Arial"/>
        </w:rPr>
        <w:t xml:space="preserve">In </w:t>
      </w:r>
      <w:r w:rsidR="0004342B" w:rsidRPr="00C27B8A">
        <w:rPr>
          <w:rFonts w:cs="Arial"/>
          <w:i/>
        </w:rPr>
        <w:t>Fatima Yildirim v Austria</w:t>
      </w:r>
      <w:r w:rsidR="0004342B">
        <w:rPr>
          <w:rStyle w:val="FootnoteReference"/>
          <w:rFonts w:cs="Arial"/>
          <w:i/>
        </w:rPr>
        <w:footnoteReference w:id="39"/>
      </w:r>
      <w:r w:rsidR="0004342B">
        <w:rPr>
          <w:rFonts w:cs="Arial"/>
        </w:rPr>
        <w:t xml:space="preserve"> </w:t>
      </w:r>
      <w:r w:rsidRPr="00507902">
        <w:rPr>
          <w:rFonts w:cs="Arial"/>
        </w:rPr>
        <w:t>the CEDAW Committee held that Austria had breached its due diligence obligation to protect a women murdered by her husband in failing to detain him despite him making repeated death threats which were known to police.</w:t>
      </w:r>
    </w:p>
    <w:p w:rsidR="00987552" w:rsidRDefault="00987552" w:rsidP="006470B5">
      <w:pPr>
        <w:numPr>
          <w:ilvl w:val="0"/>
          <w:numId w:val="16"/>
        </w:numPr>
        <w:autoSpaceDE w:val="0"/>
        <w:autoSpaceDN w:val="0"/>
        <w:adjustRightInd w:val="0"/>
        <w:spacing w:before="0"/>
        <w:rPr>
          <w:rFonts w:cs="Arial"/>
        </w:rPr>
      </w:pPr>
      <w:r w:rsidRPr="00507902">
        <w:rPr>
          <w:rFonts w:cs="Arial"/>
        </w:rPr>
        <w:t xml:space="preserve">Similarly, in </w:t>
      </w:r>
      <w:r w:rsidRPr="00507902">
        <w:rPr>
          <w:rFonts w:cs="Arial"/>
          <w:i/>
        </w:rPr>
        <w:t>Opuz v Turkey</w:t>
      </w:r>
      <w:r w:rsidRPr="00507902">
        <w:rPr>
          <w:rFonts w:cs="Arial"/>
          <w:i/>
          <w:sz w:val="20"/>
          <w:vertAlign w:val="superscript"/>
        </w:rPr>
        <w:footnoteReference w:id="40"/>
      </w:r>
      <w:r w:rsidRPr="00507902">
        <w:rPr>
          <w:rFonts w:cs="Arial"/>
        </w:rPr>
        <w:t xml:space="preserve"> the </w:t>
      </w:r>
      <w:r w:rsidR="00305006">
        <w:rPr>
          <w:rFonts w:cs="Arial"/>
        </w:rPr>
        <w:t>ECHR</w:t>
      </w:r>
      <w:r w:rsidRPr="00507902">
        <w:rPr>
          <w:rFonts w:cs="Arial"/>
        </w:rPr>
        <w:t xml:space="preserve"> held that Turkish authorities had failed in their positive obligation to protect the right of a woman killed by her partner despite several complaints of violence to the police.</w:t>
      </w:r>
    </w:p>
    <w:p w:rsidR="00E05EA4" w:rsidRPr="00A76D31" w:rsidRDefault="00E05EA4" w:rsidP="00A76D31">
      <w:pPr>
        <w:pStyle w:val="Heading2"/>
        <w:rPr>
          <w:rFonts w:eastAsia="MS Mincho"/>
        </w:rPr>
      </w:pPr>
      <w:r w:rsidRPr="00A76D31">
        <w:rPr>
          <w:rFonts w:eastAsia="MS Mincho"/>
        </w:rPr>
        <w:t>Obligation to investigate gender based violence</w:t>
      </w:r>
    </w:p>
    <w:p w:rsidR="00987552" w:rsidRPr="00507902" w:rsidRDefault="00987552" w:rsidP="006470B5">
      <w:pPr>
        <w:numPr>
          <w:ilvl w:val="0"/>
          <w:numId w:val="16"/>
        </w:numPr>
        <w:autoSpaceDE w:val="0"/>
        <w:autoSpaceDN w:val="0"/>
        <w:adjustRightInd w:val="0"/>
        <w:spacing w:before="0"/>
        <w:rPr>
          <w:rFonts w:eastAsia="MS Mincho" w:cs="Arial"/>
        </w:rPr>
      </w:pPr>
      <w:r w:rsidRPr="00507902">
        <w:rPr>
          <w:rFonts w:eastAsia="MS Mincho" w:cs="Arial"/>
        </w:rPr>
        <w:t>It is well established under i</w:t>
      </w:r>
      <w:r w:rsidR="0052438C">
        <w:rPr>
          <w:rFonts w:eastAsia="MS Mincho" w:cs="Arial"/>
        </w:rPr>
        <w:t>nternational law, including the CEDAW</w:t>
      </w:r>
      <w:r w:rsidRPr="00507902">
        <w:rPr>
          <w:rFonts w:eastAsia="MS Mincho" w:cs="Arial"/>
        </w:rPr>
        <w:t>,</w:t>
      </w:r>
      <w:r w:rsidRPr="00507902">
        <w:rPr>
          <w:rFonts w:eastAsia="MS Mincho" w:cs="Arial"/>
          <w:sz w:val="20"/>
          <w:vertAlign w:val="superscript"/>
        </w:rPr>
        <w:footnoteReference w:id="41"/>
      </w:r>
      <w:r w:rsidRPr="00507902">
        <w:rPr>
          <w:rFonts w:eastAsia="MS Mincho" w:cs="Arial"/>
        </w:rPr>
        <w:t xml:space="preserve"> that the due </w:t>
      </w:r>
      <w:r w:rsidRPr="00507902">
        <w:rPr>
          <w:rFonts w:cs="Arial"/>
        </w:rPr>
        <w:t>diligence</w:t>
      </w:r>
      <w:r w:rsidRPr="00507902">
        <w:rPr>
          <w:rFonts w:eastAsia="MS Mincho" w:cs="Arial"/>
        </w:rPr>
        <w:t xml:space="preserve"> obligation to investigate applies to gender-based violence against women, including domestic violence.</w:t>
      </w:r>
      <w:r w:rsidRPr="00507902">
        <w:rPr>
          <w:rFonts w:eastAsia="MS Mincho" w:cs="Arial"/>
          <w:sz w:val="20"/>
          <w:vertAlign w:val="superscript"/>
        </w:rPr>
        <w:footnoteReference w:id="42"/>
      </w:r>
    </w:p>
    <w:p w:rsidR="00987552" w:rsidRPr="00507902" w:rsidRDefault="00987552" w:rsidP="006470B5">
      <w:pPr>
        <w:numPr>
          <w:ilvl w:val="0"/>
          <w:numId w:val="16"/>
        </w:numPr>
        <w:autoSpaceDE w:val="0"/>
        <w:autoSpaceDN w:val="0"/>
        <w:adjustRightInd w:val="0"/>
        <w:spacing w:before="0"/>
        <w:rPr>
          <w:rFonts w:eastAsia="MS Mincho" w:cs="Arial"/>
        </w:rPr>
      </w:pPr>
      <w:r w:rsidRPr="00507902">
        <w:rPr>
          <w:rFonts w:eastAsia="MS Mincho" w:cs="Arial"/>
        </w:rPr>
        <w:t xml:space="preserve">The </w:t>
      </w:r>
      <w:r w:rsidRPr="00507902">
        <w:rPr>
          <w:rFonts w:cs="Arial"/>
        </w:rPr>
        <w:t>Committee</w:t>
      </w:r>
      <w:r w:rsidRPr="00507902">
        <w:rPr>
          <w:rFonts w:eastAsia="MS Mincho" w:cs="Arial"/>
        </w:rPr>
        <w:t xml:space="preserve"> on the Elimination of Discrimination against Women has explained, for instance, that, ‘under general international law and specific human rights covenants, States may … be responsible for private acts if they fail to act with due diligence … to </w:t>
      </w:r>
      <w:r w:rsidRPr="00507902">
        <w:rPr>
          <w:rFonts w:eastAsia="MS Mincho" w:cs="Arial"/>
          <w:i/>
        </w:rPr>
        <w:t>investigate</w:t>
      </w:r>
      <w:r w:rsidRPr="00507902">
        <w:rPr>
          <w:rFonts w:eastAsia="MS Mincho" w:cs="Arial"/>
        </w:rPr>
        <w:t xml:space="preserve"> … acts of violence…’.</w:t>
      </w:r>
      <w:r w:rsidRPr="00507902">
        <w:rPr>
          <w:rFonts w:eastAsia="MS Mincho" w:cs="Arial"/>
          <w:sz w:val="20"/>
          <w:vertAlign w:val="superscript"/>
        </w:rPr>
        <w:footnoteReference w:id="43"/>
      </w:r>
      <w:r w:rsidRPr="00507902">
        <w:rPr>
          <w:rFonts w:eastAsia="MS Mincho" w:cs="Arial"/>
        </w:rPr>
        <w:t xml:space="preserve">  The </w:t>
      </w:r>
      <w:r w:rsidRPr="00507902">
        <w:rPr>
          <w:rFonts w:eastAsia="MS Mincho" w:cs="Arial"/>
        </w:rPr>
        <w:lastRenderedPageBreak/>
        <w:t xml:space="preserve">responsibility lies in the failure of the </w:t>
      </w:r>
      <w:r w:rsidR="009A4D69" w:rsidRPr="00507902">
        <w:rPr>
          <w:rFonts w:eastAsia="MS Mincho" w:cs="Arial"/>
        </w:rPr>
        <w:t xml:space="preserve">State </w:t>
      </w:r>
      <w:r w:rsidRPr="00507902">
        <w:rPr>
          <w:rFonts w:eastAsia="MS Mincho" w:cs="Arial"/>
        </w:rPr>
        <w:t>to take reasonable measures to investigate alleged violations of human rights by a non-state actor.</w:t>
      </w:r>
      <w:r w:rsidRPr="00507902">
        <w:rPr>
          <w:rFonts w:eastAsia="MS Mincho" w:cs="Arial"/>
          <w:sz w:val="20"/>
          <w:vertAlign w:val="superscript"/>
        </w:rPr>
        <w:footnoteReference w:id="44"/>
      </w:r>
      <w:r w:rsidRPr="00507902">
        <w:rPr>
          <w:rFonts w:eastAsia="MS Mincho" w:cs="Arial"/>
        </w:rPr>
        <w:t xml:space="preserve">  </w:t>
      </w:r>
    </w:p>
    <w:p w:rsidR="00987552" w:rsidRPr="00507902" w:rsidRDefault="00987552" w:rsidP="006470B5">
      <w:pPr>
        <w:numPr>
          <w:ilvl w:val="0"/>
          <w:numId w:val="16"/>
        </w:numPr>
        <w:autoSpaceDE w:val="0"/>
        <w:autoSpaceDN w:val="0"/>
        <w:adjustRightInd w:val="0"/>
        <w:spacing w:before="0"/>
        <w:rPr>
          <w:rFonts w:eastAsia="MS Mincho" w:cs="Arial"/>
        </w:rPr>
      </w:pPr>
      <w:r w:rsidRPr="00507902">
        <w:rPr>
          <w:rFonts w:cs="Arial"/>
        </w:rPr>
        <w:t>The</w:t>
      </w:r>
      <w:r w:rsidRPr="00507902">
        <w:rPr>
          <w:rFonts w:eastAsia="MS Mincho" w:cs="Arial"/>
        </w:rPr>
        <w:t xml:space="preserve"> obligation t</w:t>
      </w:r>
      <w:r w:rsidR="003E3421">
        <w:rPr>
          <w:rFonts w:eastAsia="MS Mincho" w:cs="Arial"/>
        </w:rPr>
        <w:t xml:space="preserve">o investigate aims </w:t>
      </w:r>
      <w:r w:rsidRPr="00507902">
        <w:rPr>
          <w:rFonts w:eastAsia="MS Mincho" w:cs="Arial"/>
        </w:rPr>
        <w:t>to</w:t>
      </w:r>
      <w:r w:rsidR="009A4D69">
        <w:rPr>
          <w:rFonts w:eastAsia="MS Mincho" w:cs="Arial"/>
        </w:rPr>
        <w:t>, amongst other things</w:t>
      </w:r>
      <w:r w:rsidRPr="00507902">
        <w:rPr>
          <w:rFonts w:eastAsia="MS Mincho" w:cs="Arial"/>
        </w:rPr>
        <w:t xml:space="preserve">: </w:t>
      </w:r>
    </w:p>
    <w:p w:rsidR="00987552" w:rsidRPr="003E3421" w:rsidRDefault="00987552" w:rsidP="006470B5">
      <w:pPr>
        <w:numPr>
          <w:ilvl w:val="1"/>
          <w:numId w:val="16"/>
        </w:numPr>
        <w:autoSpaceDE w:val="0"/>
        <w:autoSpaceDN w:val="0"/>
        <w:adjustRightInd w:val="0"/>
        <w:spacing w:before="0"/>
        <w:ind w:left="1434" w:hanging="357"/>
        <w:rPr>
          <w:rFonts w:eastAsia="MS Mincho" w:cs="Arial"/>
        </w:rPr>
      </w:pPr>
      <w:r w:rsidRPr="003E3421">
        <w:rPr>
          <w:rFonts w:eastAsia="MS Mincho" w:cs="Arial"/>
        </w:rPr>
        <w:t xml:space="preserve">ensure the effective implementation of laws and policies that protect human rights related to gender-based violence, including the right to life; </w:t>
      </w:r>
    </w:p>
    <w:p w:rsidR="00987552" w:rsidRPr="003E3421" w:rsidRDefault="00987552" w:rsidP="006470B5">
      <w:pPr>
        <w:numPr>
          <w:ilvl w:val="1"/>
          <w:numId w:val="16"/>
        </w:numPr>
        <w:autoSpaceDE w:val="0"/>
        <w:autoSpaceDN w:val="0"/>
        <w:adjustRightInd w:val="0"/>
        <w:spacing w:before="0"/>
        <w:ind w:left="1434" w:hanging="357"/>
        <w:rPr>
          <w:rFonts w:eastAsia="MS Mincho" w:cs="Arial"/>
        </w:rPr>
      </w:pPr>
      <w:r w:rsidRPr="003E3421">
        <w:rPr>
          <w:rFonts w:eastAsia="MS Mincho" w:cs="Arial"/>
        </w:rPr>
        <w:t>avoid repetition of the violence, both against the individual victim/survivor and more broadly within society;</w:t>
      </w:r>
    </w:p>
    <w:p w:rsidR="00987552" w:rsidRPr="003E3421" w:rsidRDefault="00987552" w:rsidP="006470B5">
      <w:pPr>
        <w:numPr>
          <w:ilvl w:val="1"/>
          <w:numId w:val="16"/>
        </w:numPr>
        <w:autoSpaceDE w:val="0"/>
        <w:autoSpaceDN w:val="0"/>
        <w:adjustRightInd w:val="0"/>
        <w:spacing w:before="0"/>
        <w:ind w:left="1434" w:hanging="357"/>
        <w:rPr>
          <w:rFonts w:eastAsia="MS Mincho" w:cs="Arial"/>
        </w:rPr>
      </w:pPr>
      <w:r w:rsidRPr="003E3421">
        <w:rPr>
          <w:rFonts w:eastAsia="MS Mincho" w:cs="Arial"/>
        </w:rPr>
        <w:t xml:space="preserve">ensure accountability of </w:t>
      </w:r>
      <w:r w:rsidR="0099452E" w:rsidRPr="003E3421">
        <w:rPr>
          <w:rFonts w:eastAsia="MS Mincho" w:cs="Arial"/>
        </w:rPr>
        <w:t xml:space="preserve">State </w:t>
      </w:r>
      <w:r w:rsidRPr="003E3421">
        <w:rPr>
          <w:rFonts w:eastAsia="MS Mincho" w:cs="Arial"/>
        </w:rPr>
        <w:t>actors for deaths occurring under their responsibility; and</w:t>
      </w:r>
    </w:p>
    <w:p w:rsidR="00987552" w:rsidRPr="003E3421" w:rsidRDefault="00987552" w:rsidP="006470B5">
      <w:pPr>
        <w:numPr>
          <w:ilvl w:val="1"/>
          <w:numId w:val="16"/>
        </w:numPr>
        <w:autoSpaceDE w:val="0"/>
        <w:autoSpaceDN w:val="0"/>
        <w:adjustRightInd w:val="0"/>
        <w:spacing w:before="0"/>
        <w:ind w:left="1434" w:hanging="357"/>
        <w:rPr>
          <w:rFonts w:eastAsia="MS Mincho" w:cs="Arial"/>
        </w:rPr>
      </w:pPr>
      <w:r w:rsidRPr="003E3421">
        <w:rPr>
          <w:rFonts w:eastAsia="MS Mincho" w:cs="Arial"/>
        </w:rPr>
        <w:t>end impunity for gender-based violence against women.</w:t>
      </w:r>
      <w:r w:rsidRPr="001C64DC">
        <w:rPr>
          <w:rStyle w:val="FootnoteReference"/>
        </w:rPr>
        <w:footnoteReference w:id="45"/>
      </w:r>
      <w:r w:rsidRPr="003E3421">
        <w:rPr>
          <w:rFonts w:eastAsia="MS Mincho" w:cs="Arial"/>
        </w:rPr>
        <w:t xml:space="preserve">   </w:t>
      </w:r>
    </w:p>
    <w:p w:rsidR="00987552" w:rsidRPr="00507902" w:rsidRDefault="00987552" w:rsidP="006470B5">
      <w:pPr>
        <w:numPr>
          <w:ilvl w:val="0"/>
          <w:numId w:val="16"/>
        </w:numPr>
        <w:autoSpaceDE w:val="0"/>
        <w:autoSpaceDN w:val="0"/>
        <w:adjustRightInd w:val="0"/>
        <w:spacing w:before="0"/>
        <w:rPr>
          <w:rFonts w:eastAsia="MS Mincho" w:cs="Arial"/>
        </w:rPr>
      </w:pPr>
      <w:r w:rsidRPr="00507902">
        <w:rPr>
          <w:rFonts w:eastAsia="MS Mincho" w:cs="Arial"/>
        </w:rPr>
        <w:t xml:space="preserve">To </w:t>
      </w:r>
      <w:r w:rsidRPr="00507902">
        <w:rPr>
          <w:rFonts w:cs="Arial"/>
        </w:rPr>
        <w:t>this</w:t>
      </w:r>
      <w:r w:rsidRPr="00507902">
        <w:rPr>
          <w:rFonts w:eastAsia="MS Mincho" w:cs="Arial"/>
        </w:rPr>
        <w:t xml:space="preserve"> end, comments by the Coroner in this inquest are an important part of meeting Australia’s positive duty under international law.</w:t>
      </w:r>
    </w:p>
    <w:p w:rsidR="00987552" w:rsidRPr="00A76D31" w:rsidRDefault="00987552" w:rsidP="00A76D31">
      <w:pPr>
        <w:pStyle w:val="Heading3"/>
        <w:rPr>
          <w:rFonts w:eastAsia="MS Mincho"/>
        </w:rPr>
      </w:pPr>
      <w:r w:rsidRPr="00A76D31">
        <w:rPr>
          <w:rFonts w:eastAsia="MS Mincho"/>
        </w:rPr>
        <w:t xml:space="preserve">Content and meaning of the obligation to investigate </w:t>
      </w:r>
    </w:p>
    <w:p w:rsidR="00987552" w:rsidRPr="00507902" w:rsidRDefault="00987552" w:rsidP="006470B5">
      <w:pPr>
        <w:numPr>
          <w:ilvl w:val="0"/>
          <w:numId w:val="16"/>
        </w:numPr>
        <w:autoSpaceDE w:val="0"/>
        <w:autoSpaceDN w:val="0"/>
        <w:adjustRightInd w:val="0"/>
        <w:spacing w:before="0"/>
        <w:rPr>
          <w:rFonts w:eastAsia="MS Mincho" w:cs="Arial"/>
          <w:sz w:val="21"/>
          <w:szCs w:val="21"/>
        </w:rPr>
      </w:pPr>
      <w:r w:rsidRPr="00507902">
        <w:rPr>
          <w:rFonts w:eastAsia="MS Mincho" w:cs="Arial"/>
        </w:rPr>
        <w:t xml:space="preserve">In </w:t>
      </w:r>
      <w:r w:rsidRPr="00507902">
        <w:rPr>
          <w:rFonts w:eastAsia="MS Mincho" w:cs="Arial"/>
          <w:i/>
        </w:rPr>
        <w:t>A.T. v Hungary</w:t>
      </w:r>
      <w:r w:rsidR="00B25D1E" w:rsidRPr="00507902">
        <w:rPr>
          <w:rFonts w:eastAsia="MS Mincho" w:cs="Arial"/>
        </w:rPr>
        <w:t>.</w:t>
      </w:r>
      <w:r w:rsidR="00B25D1E" w:rsidRPr="00507902">
        <w:rPr>
          <w:rFonts w:eastAsia="MS Mincho" w:cs="Arial"/>
          <w:sz w:val="20"/>
          <w:vertAlign w:val="superscript"/>
        </w:rPr>
        <w:footnoteReference w:id="46"/>
      </w:r>
      <w:r w:rsidRPr="00507902">
        <w:rPr>
          <w:rFonts w:eastAsia="MS Mincho" w:cs="Arial"/>
        </w:rPr>
        <w:t xml:space="preserve">, the CEDAW Committee recommended that the State Party take steps to ‘[i]nvestigate </w:t>
      </w:r>
      <w:r w:rsidRPr="00507902">
        <w:rPr>
          <w:rFonts w:eastAsia="MS Mincho" w:cs="Arial"/>
          <w:i/>
        </w:rPr>
        <w:t>promptly</w:t>
      </w:r>
      <w:r w:rsidRPr="00507902">
        <w:rPr>
          <w:rFonts w:eastAsia="MS Mincho" w:cs="Arial"/>
        </w:rPr>
        <w:t xml:space="preserve">, </w:t>
      </w:r>
      <w:r w:rsidRPr="00507902">
        <w:rPr>
          <w:rFonts w:eastAsia="MS Mincho" w:cs="Arial"/>
          <w:i/>
        </w:rPr>
        <w:t>thoroughly</w:t>
      </w:r>
      <w:r w:rsidRPr="00507902">
        <w:rPr>
          <w:rFonts w:eastAsia="MS Mincho" w:cs="Arial"/>
        </w:rPr>
        <w:t xml:space="preserve">, </w:t>
      </w:r>
      <w:r w:rsidRPr="00507902">
        <w:rPr>
          <w:rFonts w:eastAsia="MS Mincho" w:cs="Arial"/>
          <w:i/>
        </w:rPr>
        <w:t>impartially</w:t>
      </w:r>
      <w:r w:rsidRPr="00507902">
        <w:rPr>
          <w:rFonts w:eastAsia="MS Mincho" w:cs="Arial"/>
        </w:rPr>
        <w:t xml:space="preserve"> and </w:t>
      </w:r>
      <w:r w:rsidRPr="00507902">
        <w:rPr>
          <w:rFonts w:eastAsia="MS Mincho" w:cs="Arial"/>
          <w:i/>
        </w:rPr>
        <w:t>seriously</w:t>
      </w:r>
      <w:r w:rsidRPr="00507902">
        <w:rPr>
          <w:rFonts w:eastAsia="MS Mincho" w:cs="Arial"/>
        </w:rPr>
        <w:t xml:space="preserve"> all allegations of domestic violence and bring the offenders to justice in accordance with international standards’</w:t>
      </w:r>
      <w:r w:rsidR="003F026E">
        <w:rPr>
          <w:rFonts w:eastAsia="MS Mincho" w:cs="Arial"/>
        </w:rPr>
        <w:t xml:space="preserve"> </w:t>
      </w:r>
      <w:r w:rsidR="00B25D1E">
        <w:rPr>
          <w:rFonts w:eastAsia="MS Mincho" w:cs="Arial"/>
        </w:rPr>
        <w:t>(emphasis added)</w:t>
      </w:r>
      <w:r w:rsidR="00DF3935">
        <w:rPr>
          <w:rStyle w:val="FootnoteReference"/>
          <w:rFonts w:eastAsia="MS Mincho" w:cs="Arial"/>
        </w:rPr>
        <w:footnoteReference w:id="47"/>
      </w:r>
    </w:p>
    <w:p w:rsidR="00987552" w:rsidRPr="00507902" w:rsidRDefault="00987552" w:rsidP="006470B5">
      <w:pPr>
        <w:numPr>
          <w:ilvl w:val="0"/>
          <w:numId w:val="16"/>
        </w:numPr>
        <w:autoSpaceDE w:val="0"/>
        <w:autoSpaceDN w:val="0"/>
        <w:adjustRightInd w:val="0"/>
        <w:spacing w:before="0"/>
        <w:rPr>
          <w:rFonts w:eastAsia="MS Mincho" w:cs="Arial"/>
          <w:sz w:val="21"/>
          <w:szCs w:val="21"/>
        </w:rPr>
      </w:pPr>
      <w:r w:rsidRPr="00507902">
        <w:rPr>
          <w:rFonts w:cs="Arial"/>
        </w:rPr>
        <w:lastRenderedPageBreak/>
        <w:t>Other</w:t>
      </w:r>
      <w:r w:rsidRPr="00507902">
        <w:rPr>
          <w:rFonts w:eastAsia="MS Mincho" w:cs="Arial"/>
        </w:rPr>
        <w:t xml:space="preserve"> international decision-making bodies have also regularly called on States Parties to conduct investigations that are prompt, thorough, impartial and serious. </w:t>
      </w:r>
      <w:r w:rsidRPr="00507902">
        <w:rPr>
          <w:rFonts w:eastAsia="MS Mincho" w:cs="Arial"/>
          <w:sz w:val="21"/>
          <w:szCs w:val="21"/>
          <w:vertAlign w:val="superscript"/>
        </w:rPr>
        <w:footnoteReference w:id="48"/>
      </w:r>
      <w:r w:rsidRPr="00507902">
        <w:rPr>
          <w:rFonts w:eastAsia="MS Mincho" w:cs="Arial"/>
          <w:sz w:val="21"/>
          <w:szCs w:val="21"/>
        </w:rPr>
        <w:t xml:space="preserve"> </w:t>
      </w:r>
    </w:p>
    <w:p w:rsidR="00987552" w:rsidRPr="00507902" w:rsidRDefault="00987552" w:rsidP="006470B5">
      <w:pPr>
        <w:numPr>
          <w:ilvl w:val="0"/>
          <w:numId w:val="16"/>
        </w:numPr>
        <w:autoSpaceDE w:val="0"/>
        <w:autoSpaceDN w:val="0"/>
        <w:adjustRightInd w:val="0"/>
        <w:spacing w:before="0"/>
        <w:rPr>
          <w:rFonts w:eastAsia="MS Mincho" w:cs="Arial"/>
        </w:rPr>
      </w:pPr>
      <w:r w:rsidRPr="00507902">
        <w:rPr>
          <w:rFonts w:cs="Arial"/>
        </w:rPr>
        <w:t>International</w:t>
      </w:r>
      <w:r w:rsidRPr="00507902">
        <w:rPr>
          <w:rFonts w:eastAsia="MS Mincho" w:cs="Arial"/>
        </w:rPr>
        <w:t xml:space="preserve"> jurisprudence provides some guidance on the measures necessary to ensure an investigation that is prompt, thorough, impartial and serious.</w:t>
      </w:r>
      <w:r w:rsidRPr="00507902">
        <w:rPr>
          <w:rFonts w:eastAsia="MS Mincho" w:cs="Arial"/>
          <w:sz w:val="20"/>
          <w:vertAlign w:val="superscript"/>
        </w:rPr>
        <w:footnoteReference w:id="49"/>
      </w:r>
      <w:r w:rsidRPr="00507902">
        <w:rPr>
          <w:rFonts w:eastAsia="MS Mincho" w:cs="Arial"/>
        </w:rPr>
        <w:t xml:space="preserve">  Much of this jurisprudence approaches this question from the perspective of the ‘particular vulnerability of victims of domestic violence’.</w:t>
      </w:r>
      <w:r w:rsidRPr="00507902">
        <w:rPr>
          <w:rFonts w:eastAsia="MS Mincho" w:cs="Arial"/>
          <w:sz w:val="20"/>
          <w:vertAlign w:val="superscript"/>
        </w:rPr>
        <w:footnoteReference w:id="50"/>
      </w:r>
    </w:p>
    <w:p w:rsidR="00987552" w:rsidRPr="00507902" w:rsidRDefault="00987552" w:rsidP="00507902">
      <w:pPr>
        <w:pStyle w:val="Heading4"/>
        <w:rPr>
          <w:rFonts w:eastAsia="MS Mincho" w:cs="Arial"/>
        </w:rPr>
      </w:pPr>
      <w:r w:rsidRPr="00507902">
        <w:rPr>
          <w:rFonts w:eastAsia="MS Mincho" w:cs="Arial"/>
        </w:rPr>
        <w:t xml:space="preserve">Prompt investigation </w:t>
      </w:r>
    </w:p>
    <w:p w:rsidR="00987552" w:rsidRPr="00507902" w:rsidRDefault="00987552" w:rsidP="006470B5">
      <w:pPr>
        <w:numPr>
          <w:ilvl w:val="0"/>
          <w:numId w:val="16"/>
        </w:numPr>
        <w:autoSpaceDE w:val="0"/>
        <w:autoSpaceDN w:val="0"/>
        <w:adjustRightInd w:val="0"/>
        <w:spacing w:before="0"/>
        <w:rPr>
          <w:rFonts w:eastAsia="MS Mincho" w:cs="Arial"/>
        </w:rPr>
      </w:pPr>
      <w:r w:rsidRPr="00507902">
        <w:rPr>
          <w:rFonts w:eastAsia="MS Mincho" w:cs="Arial"/>
        </w:rPr>
        <w:t xml:space="preserve">To satisfy the due diligence obligation to investigate, a </w:t>
      </w:r>
      <w:r w:rsidR="0099452E" w:rsidRPr="00507902">
        <w:rPr>
          <w:rFonts w:eastAsia="MS Mincho" w:cs="Arial"/>
        </w:rPr>
        <w:t xml:space="preserve">State </w:t>
      </w:r>
      <w:r w:rsidRPr="00507902">
        <w:rPr>
          <w:rFonts w:eastAsia="MS Mincho" w:cs="Arial"/>
        </w:rPr>
        <w:t>must be able to demonstrate that it initiated, without unreasonable delay, an investigation into allegations of domestic violence.</w:t>
      </w:r>
      <w:r w:rsidRPr="00507902">
        <w:rPr>
          <w:rFonts w:eastAsia="MS Mincho" w:cs="Arial"/>
          <w:sz w:val="20"/>
          <w:vertAlign w:val="superscript"/>
        </w:rPr>
        <w:footnoteReference w:id="51"/>
      </w:r>
      <w:r w:rsidRPr="00507902">
        <w:rPr>
          <w:rFonts w:eastAsia="MS Mincho" w:cs="Arial"/>
        </w:rPr>
        <w:t xml:space="preserve">  There may be obstacles or difficulties that prevent progress in an investigation in a particular situation.</w:t>
      </w:r>
      <w:r w:rsidRPr="00507902">
        <w:rPr>
          <w:rFonts w:eastAsia="MS Mincho" w:cs="Arial"/>
          <w:sz w:val="20"/>
          <w:szCs w:val="21"/>
          <w:vertAlign w:val="superscript"/>
        </w:rPr>
        <w:footnoteReference w:id="52"/>
      </w:r>
      <w:r w:rsidRPr="00507902">
        <w:rPr>
          <w:rFonts w:eastAsia="MS Mincho" w:cs="Arial"/>
        </w:rPr>
        <w:t xml:space="preserve">  However, unreasonable delays in initiating an investigation, slow and unjustified progress in the </w:t>
      </w:r>
      <w:r w:rsidRPr="00507902">
        <w:rPr>
          <w:rFonts w:cs="Arial"/>
        </w:rPr>
        <w:t>investigation</w:t>
      </w:r>
      <w:r w:rsidRPr="00507902">
        <w:rPr>
          <w:rFonts w:eastAsia="MS Mincho" w:cs="Arial"/>
        </w:rPr>
        <w:t xml:space="preserve"> and the absence of activity in case files are some likely indicators of a failure to carry out a prompt investigation and may constitute a form of impunity for acts of violence.</w:t>
      </w:r>
    </w:p>
    <w:p w:rsidR="00987552" w:rsidRPr="00507902" w:rsidRDefault="00987552" w:rsidP="006470B5">
      <w:pPr>
        <w:numPr>
          <w:ilvl w:val="0"/>
          <w:numId w:val="16"/>
        </w:numPr>
        <w:autoSpaceDE w:val="0"/>
        <w:autoSpaceDN w:val="0"/>
        <w:adjustRightInd w:val="0"/>
        <w:spacing w:before="0"/>
        <w:rPr>
          <w:rFonts w:eastAsia="MS Mincho" w:cs="Arial"/>
        </w:rPr>
      </w:pPr>
      <w:r w:rsidRPr="00507902">
        <w:rPr>
          <w:rFonts w:eastAsia="MS Mincho" w:cs="Arial"/>
        </w:rPr>
        <w:t xml:space="preserve">The obligation to conduct a prompt investigation requires </w:t>
      </w:r>
      <w:r w:rsidR="0099452E" w:rsidRPr="00507902">
        <w:rPr>
          <w:rFonts w:eastAsia="MS Mincho" w:cs="Arial"/>
        </w:rPr>
        <w:t xml:space="preserve">States </w:t>
      </w:r>
      <w:r w:rsidRPr="00507902">
        <w:rPr>
          <w:rFonts w:eastAsia="MS Mincho" w:cs="Arial"/>
        </w:rPr>
        <w:t xml:space="preserve">to adopt measures </w:t>
      </w:r>
      <w:r w:rsidRPr="00507902">
        <w:rPr>
          <w:rFonts w:cs="Arial"/>
        </w:rPr>
        <w:t>to</w:t>
      </w:r>
      <w:r w:rsidRPr="00507902">
        <w:rPr>
          <w:rFonts w:eastAsia="MS Mincho" w:cs="Arial"/>
        </w:rPr>
        <w:t xml:space="preserve"> ensure the necessary framework and resources are in place so that authorities can provide an immediate and effective response to reports of violence.</w:t>
      </w:r>
      <w:r w:rsidRPr="00507902">
        <w:rPr>
          <w:rFonts w:eastAsia="MS Mincho" w:cs="Arial"/>
          <w:sz w:val="20"/>
          <w:vertAlign w:val="superscript"/>
        </w:rPr>
        <w:footnoteReference w:id="53"/>
      </w:r>
      <w:r w:rsidRPr="00507902">
        <w:rPr>
          <w:rFonts w:eastAsia="MS Mincho" w:cs="Arial"/>
        </w:rPr>
        <w:t xml:space="preserve"> </w:t>
      </w:r>
    </w:p>
    <w:p w:rsidR="00987552" w:rsidRPr="00507902" w:rsidRDefault="00987552" w:rsidP="006470B5">
      <w:pPr>
        <w:numPr>
          <w:ilvl w:val="0"/>
          <w:numId w:val="16"/>
        </w:numPr>
        <w:autoSpaceDE w:val="0"/>
        <w:autoSpaceDN w:val="0"/>
        <w:adjustRightInd w:val="0"/>
        <w:spacing w:before="0"/>
        <w:rPr>
          <w:rFonts w:eastAsia="MS Mincho" w:cs="Arial"/>
        </w:rPr>
      </w:pPr>
      <w:r w:rsidRPr="00507902">
        <w:rPr>
          <w:rFonts w:eastAsia="MS Mincho" w:cs="Arial"/>
        </w:rPr>
        <w:t xml:space="preserve">In order to be held accountable under the due diligence obligation to investigate, it must be established the </w:t>
      </w:r>
      <w:r w:rsidR="0099452E" w:rsidRPr="00507902">
        <w:rPr>
          <w:rFonts w:eastAsia="MS Mincho" w:cs="Arial"/>
        </w:rPr>
        <w:t xml:space="preserve">State </w:t>
      </w:r>
      <w:r w:rsidRPr="00507902">
        <w:rPr>
          <w:rFonts w:eastAsia="MS Mincho" w:cs="Arial"/>
        </w:rPr>
        <w:t xml:space="preserve">failed to put in place the necessary framework and resources or that the authorities knew or ought to have known of the </w:t>
      </w:r>
      <w:r w:rsidRPr="00507902">
        <w:rPr>
          <w:rFonts w:cs="Arial"/>
        </w:rPr>
        <w:t>existence</w:t>
      </w:r>
      <w:r w:rsidRPr="00507902">
        <w:rPr>
          <w:rFonts w:eastAsia="MS Mincho" w:cs="Arial"/>
        </w:rPr>
        <w:t xml:space="preserve"> of a real and immediate risk to life but failed to ‘take measures within the scope of their powers which, judged reasonably, </w:t>
      </w:r>
      <w:r w:rsidRPr="00507902">
        <w:rPr>
          <w:rFonts w:eastAsia="MS Mincho" w:cs="Arial"/>
        </w:rPr>
        <w:lastRenderedPageBreak/>
        <w:t>might have been expected to avoid that risk’.</w:t>
      </w:r>
      <w:r w:rsidRPr="00507902">
        <w:rPr>
          <w:rFonts w:eastAsia="MS Mincho" w:cs="Arial"/>
          <w:sz w:val="20"/>
          <w:vertAlign w:val="superscript"/>
        </w:rPr>
        <w:footnoteReference w:id="54"/>
      </w:r>
      <w:r w:rsidRPr="00507902">
        <w:rPr>
          <w:rFonts w:eastAsia="MS Mincho" w:cs="Arial"/>
        </w:rPr>
        <w:t xml:space="preserve">  This includes a prompt investigation.  Whether or not the authorities did all that could be reasonably expected of them in their investigation to avoid a real and immediate risk to life is a question that can only be answered in the light of all the circumstances of any particular case.</w:t>
      </w:r>
      <w:r w:rsidRPr="00507902">
        <w:rPr>
          <w:rFonts w:eastAsia="MS Mincho" w:cs="Arial"/>
          <w:sz w:val="20"/>
          <w:vertAlign w:val="superscript"/>
        </w:rPr>
        <w:footnoteReference w:id="55"/>
      </w:r>
    </w:p>
    <w:p w:rsidR="00987552" w:rsidRPr="00507902" w:rsidRDefault="00262D1E" w:rsidP="006470B5">
      <w:pPr>
        <w:numPr>
          <w:ilvl w:val="0"/>
          <w:numId w:val="16"/>
        </w:numPr>
        <w:autoSpaceDE w:val="0"/>
        <w:autoSpaceDN w:val="0"/>
        <w:adjustRightInd w:val="0"/>
        <w:spacing w:before="0"/>
        <w:rPr>
          <w:rFonts w:eastAsia="MS Mincho" w:cs="Arial"/>
        </w:rPr>
      </w:pPr>
      <w:r>
        <w:rPr>
          <w:rFonts w:eastAsia="MS Mincho" w:cs="Arial"/>
        </w:rPr>
        <w:t>A number of</w:t>
      </w:r>
      <w:r w:rsidR="00987552" w:rsidRPr="00507902">
        <w:rPr>
          <w:rFonts w:eastAsia="MS Mincho" w:cs="Arial"/>
        </w:rPr>
        <w:t xml:space="preserve"> international bodies have found </w:t>
      </w:r>
      <w:r w:rsidR="0099452E" w:rsidRPr="00507902">
        <w:rPr>
          <w:rFonts w:eastAsia="MS Mincho" w:cs="Arial"/>
        </w:rPr>
        <w:t xml:space="preserve">States </w:t>
      </w:r>
      <w:r w:rsidR="00987552" w:rsidRPr="00507902">
        <w:rPr>
          <w:rFonts w:eastAsia="MS Mincho" w:cs="Arial"/>
        </w:rPr>
        <w:t xml:space="preserve">accountable for failures to protect </w:t>
      </w:r>
      <w:r w:rsidR="00987552" w:rsidRPr="00507902">
        <w:rPr>
          <w:rFonts w:cs="Arial"/>
        </w:rPr>
        <w:t>victims</w:t>
      </w:r>
      <w:r w:rsidR="00987552" w:rsidRPr="00507902">
        <w:rPr>
          <w:rFonts w:eastAsia="MS Mincho" w:cs="Arial"/>
        </w:rPr>
        <w:t xml:space="preserve"> from imminent acts of domestic violence when the authorities knew of a situation of real and immediate risk and they failed to undertake reasonable measures to protect them from harm, including through the establishment of an investigation into allegations of violence.</w:t>
      </w:r>
      <w:r w:rsidR="00987552" w:rsidRPr="00507902">
        <w:rPr>
          <w:rFonts w:eastAsia="MS Mincho" w:cs="Arial"/>
          <w:sz w:val="20"/>
          <w:vertAlign w:val="superscript"/>
        </w:rPr>
        <w:footnoteReference w:id="56"/>
      </w:r>
      <w:r w:rsidR="00987552" w:rsidRPr="00507902">
        <w:rPr>
          <w:rFonts w:eastAsia="MS Mincho" w:cs="Arial"/>
        </w:rPr>
        <w:t xml:space="preserve">  </w:t>
      </w:r>
    </w:p>
    <w:p w:rsidR="00987552" w:rsidRPr="00507902" w:rsidRDefault="00987552" w:rsidP="00507902">
      <w:pPr>
        <w:pStyle w:val="Heading4"/>
        <w:rPr>
          <w:rFonts w:eastAsia="MS Mincho" w:cs="Arial"/>
        </w:rPr>
      </w:pPr>
      <w:r w:rsidRPr="00507902">
        <w:rPr>
          <w:rFonts w:eastAsia="MS Mincho" w:cs="Arial"/>
        </w:rPr>
        <w:t xml:space="preserve">Thorough investigation </w:t>
      </w:r>
    </w:p>
    <w:p w:rsidR="00987552" w:rsidRPr="00507902" w:rsidRDefault="00987552" w:rsidP="006470B5">
      <w:pPr>
        <w:numPr>
          <w:ilvl w:val="0"/>
          <w:numId w:val="16"/>
        </w:numPr>
        <w:autoSpaceDE w:val="0"/>
        <w:autoSpaceDN w:val="0"/>
        <w:adjustRightInd w:val="0"/>
        <w:spacing w:before="0"/>
        <w:rPr>
          <w:rFonts w:eastAsia="MS Mincho" w:cs="Arial"/>
        </w:rPr>
      </w:pPr>
      <w:r w:rsidRPr="00507902">
        <w:rPr>
          <w:rFonts w:eastAsia="MS Mincho" w:cs="Arial"/>
        </w:rPr>
        <w:t xml:space="preserve">To satisfy the due diligence obligation to investigate, a </w:t>
      </w:r>
      <w:r w:rsidR="0099452E" w:rsidRPr="00507902">
        <w:rPr>
          <w:rFonts w:eastAsia="MS Mincho" w:cs="Arial"/>
        </w:rPr>
        <w:t xml:space="preserve">State </w:t>
      </w:r>
      <w:r w:rsidRPr="00507902">
        <w:rPr>
          <w:rFonts w:eastAsia="MS Mincho" w:cs="Arial"/>
        </w:rPr>
        <w:t xml:space="preserve">must be able to demonstrate that it </w:t>
      </w:r>
      <w:r w:rsidRPr="00507902">
        <w:rPr>
          <w:rFonts w:cs="Arial"/>
        </w:rPr>
        <w:t>conducted</w:t>
      </w:r>
      <w:r w:rsidRPr="00507902">
        <w:rPr>
          <w:rFonts w:eastAsia="MS Mincho" w:cs="Arial"/>
        </w:rPr>
        <w:t xml:space="preserve"> a thorough investigation into allegations of gender-based violence against women.  </w:t>
      </w:r>
    </w:p>
    <w:p w:rsidR="00987552" w:rsidRPr="00507902" w:rsidRDefault="00987552" w:rsidP="006470B5">
      <w:pPr>
        <w:numPr>
          <w:ilvl w:val="0"/>
          <w:numId w:val="16"/>
        </w:numPr>
        <w:autoSpaceDE w:val="0"/>
        <w:autoSpaceDN w:val="0"/>
        <w:adjustRightInd w:val="0"/>
        <w:spacing w:before="0"/>
        <w:rPr>
          <w:rFonts w:eastAsia="MS Mincho" w:cs="Arial"/>
        </w:rPr>
      </w:pPr>
      <w:r w:rsidRPr="00507902">
        <w:rPr>
          <w:rFonts w:eastAsia="MS Mincho" w:cs="Arial"/>
        </w:rPr>
        <w:t>This would include taking reasonable steps to ‘secure relevant evidence in order that the investigation is capable of identifying and punishing the perpetrators’.</w:t>
      </w:r>
      <w:r w:rsidRPr="00507902">
        <w:rPr>
          <w:rFonts w:eastAsia="MS Mincho" w:cs="Arial"/>
          <w:sz w:val="20"/>
          <w:vertAlign w:val="superscript"/>
        </w:rPr>
        <w:footnoteReference w:id="57"/>
      </w:r>
      <w:r w:rsidRPr="00507902">
        <w:rPr>
          <w:rFonts w:eastAsia="MS Mincho" w:cs="Arial"/>
        </w:rPr>
        <w:t xml:space="preserve">  It has </w:t>
      </w:r>
      <w:r w:rsidRPr="00507902">
        <w:rPr>
          <w:rFonts w:cs="Arial"/>
        </w:rPr>
        <w:t>been</w:t>
      </w:r>
      <w:r w:rsidRPr="00507902">
        <w:rPr>
          <w:rFonts w:eastAsia="MS Mincho" w:cs="Arial"/>
        </w:rPr>
        <w:t xml:space="preserve"> explained that the </w:t>
      </w:r>
      <w:r w:rsidR="0099452E" w:rsidRPr="00507902">
        <w:rPr>
          <w:rFonts w:eastAsia="MS Mincho" w:cs="Arial"/>
        </w:rPr>
        <w:t xml:space="preserve">State </w:t>
      </w:r>
      <w:r w:rsidRPr="00507902">
        <w:rPr>
          <w:rFonts w:eastAsia="MS Mincho" w:cs="Arial"/>
        </w:rPr>
        <w:t>‘is ultimately the one responsible for ascertaining the truth of its own initiative …  In accordance with its special protection obligation and the due diligence principle, this obligation is particularly critical in cases implicating the right to life of girl-children’.</w:t>
      </w:r>
      <w:r w:rsidRPr="00507902">
        <w:rPr>
          <w:rFonts w:eastAsia="MS Mincho" w:cs="Arial"/>
          <w:sz w:val="20"/>
          <w:vertAlign w:val="superscript"/>
        </w:rPr>
        <w:footnoteReference w:id="58"/>
      </w:r>
      <w:r w:rsidRPr="00507902">
        <w:rPr>
          <w:rFonts w:eastAsia="MS Mincho" w:cs="Arial"/>
        </w:rPr>
        <w:t xml:space="preserve"> </w:t>
      </w:r>
    </w:p>
    <w:p w:rsidR="00987552" w:rsidRPr="00507902" w:rsidRDefault="008C0235" w:rsidP="00507902">
      <w:pPr>
        <w:pStyle w:val="Heading4"/>
        <w:rPr>
          <w:rFonts w:eastAsia="MS Mincho" w:cs="Arial"/>
        </w:rPr>
      </w:pPr>
      <w:r>
        <w:rPr>
          <w:rFonts w:eastAsia="MS Mincho" w:cs="Arial"/>
        </w:rPr>
        <w:t>Serious investigation</w:t>
      </w:r>
    </w:p>
    <w:p w:rsidR="00987552" w:rsidRPr="00507902" w:rsidRDefault="00987552" w:rsidP="006470B5">
      <w:pPr>
        <w:numPr>
          <w:ilvl w:val="0"/>
          <w:numId w:val="16"/>
        </w:numPr>
        <w:autoSpaceDE w:val="0"/>
        <w:autoSpaceDN w:val="0"/>
        <w:adjustRightInd w:val="0"/>
        <w:spacing w:before="0"/>
        <w:rPr>
          <w:rFonts w:eastAsia="MS Mincho" w:cs="Arial"/>
        </w:rPr>
      </w:pPr>
      <w:r w:rsidRPr="00507902">
        <w:rPr>
          <w:rFonts w:eastAsia="MS Mincho" w:cs="Arial"/>
        </w:rPr>
        <w:t xml:space="preserve">To satisfy the due diligence obligation to investigate, a </w:t>
      </w:r>
      <w:r w:rsidR="0099452E" w:rsidRPr="00507902">
        <w:rPr>
          <w:rFonts w:eastAsia="MS Mincho" w:cs="Arial"/>
        </w:rPr>
        <w:t xml:space="preserve">State </w:t>
      </w:r>
      <w:r w:rsidRPr="00507902">
        <w:rPr>
          <w:rFonts w:eastAsia="MS Mincho" w:cs="Arial"/>
        </w:rPr>
        <w:t xml:space="preserve">must be able to </w:t>
      </w:r>
      <w:r w:rsidRPr="00507902">
        <w:rPr>
          <w:rFonts w:cs="Arial"/>
        </w:rPr>
        <w:t>demonstrate</w:t>
      </w:r>
      <w:r w:rsidRPr="00507902">
        <w:rPr>
          <w:rFonts w:eastAsia="MS Mincho" w:cs="Arial"/>
        </w:rPr>
        <w:t xml:space="preserve"> that it carried out a serious investigation into the alleged violence.  </w:t>
      </w:r>
    </w:p>
    <w:p w:rsidR="00987552" w:rsidRPr="00507902" w:rsidRDefault="00987552" w:rsidP="006470B5">
      <w:pPr>
        <w:numPr>
          <w:ilvl w:val="0"/>
          <w:numId w:val="16"/>
        </w:numPr>
        <w:autoSpaceDE w:val="0"/>
        <w:autoSpaceDN w:val="0"/>
        <w:adjustRightInd w:val="0"/>
        <w:spacing w:before="0"/>
        <w:rPr>
          <w:rFonts w:eastAsia="MS Mincho" w:cs="Arial"/>
        </w:rPr>
      </w:pPr>
      <w:r w:rsidRPr="00507902">
        <w:rPr>
          <w:rFonts w:eastAsia="MS Mincho" w:cs="Arial"/>
        </w:rPr>
        <w:t xml:space="preserve">In </w:t>
      </w:r>
      <w:r w:rsidRPr="00262D1E">
        <w:rPr>
          <w:rFonts w:cs="Arial"/>
          <w:i/>
        </w:rPr>
        <w:t>Velásquez</w:t>
      </w:r>
      <w:r w:rsidRPr="00507902">
        <w:rPr>
          <w:rFonts w:eastAsia="MS Mincho" w:cs="Arial"/>
          <w:i/>
        </w:rPr>
        <w:t xml:space="preserve"> Rodríguez v Honduras</w:t>
      </w:r>
      <w:r w:rsidRPr="00507902">
        <w:rPr>
          <w:rFonts w:eastAsia="MS Mincho" w:cs="Arial"/>
        </w:rPr>
        <w:t xml:space="preserve">, the Inter-American Court of Human Rights explained that the duty to investigate </w:t>
      </w:r>
    </w:p>
    <w:p w:rsidR="006A023C" w:rsidRDefault="00987552" w:rsidP="006A023C">
      <w:pPr>
        <w:spacing w:line="240" w:lineRule="atLeast"/>
        <w:ind w:left="1134"/>
        <w:rPr>
          <w:rFonts w:eastAsia="MS Mincho" w:cs="Arial"/>
          <w:i/>
        </w:rPr>
      </w:pPr>
      <w:r w:rsidRPr="00507902">
        <w:rPr>
          <w:rFonts w:eastAsia="MS Mincho" w:cs="Arial"/>
          <w:sz w:val="20"/>
        </w:rPr>
        <w:t xml:space="preserve">is not breached merely because the investigation does not produce a satisfactory result …  [I]t must be undertaken in a serious manner and not as a mere formality preordained </w:t>
      </w:r>
      <w:r w:rsidRPr="00507902">
        <w:rPr>
          <w:rFonts w:eastAsia="MS Mincho" w:cs="Arial"/>
          <w:sz w:val="20"/>
        </w:rPr>
        <w:lastRenderedPageBreak/>
        <w:t>to be ineffective….  Where the acts of private parties that violate the Convention are not seriously investigated, those parties are aided in a sense by the government, thereby making the State responsible on the international plane.</w:t>
      </w:r>
      <w:r w:rsidRPr="00507902">
        <w:rPr>
          <w:rFonts w:eastAsia="MS Mincho" w:cs="Arial"/>
          <w:sz w:val="20"/>
          <w:vertAlign w:val="superscript"/>
        </w:rPr>
        <w:footnoteReference w:id="59"/>
      </w:r>
      <w:r w:rsidRPr="00507902">
        <w:rPr>
          <w:rFonts w:eastAsia="MS Mincho" w:cs="Arial"/>
          <w:i/>
        </w:rPr>
        <w:t xml:space="preserve"> </w:t>
      </w:r>
    </w:p>
    <w:p w:rsidR="00987552" w:rsidRPr="00507902" w:rsidRDefault="00987552" w:rsidP="006470B5">
      <w:pPr>
        <w:numPr>
          <w:ilvl w:val="0"/>
          <w:numId w:val="16"/>
        </w:numPr>
        <w:autoSpaceDE w:val="0"/>
        <w:autoSpaceDN w:val="0"/>
        <w:adjustRightInd w:val="0"/>
        <w:spacing w:before="0"/>
        <w:rPr>
          <w:rFonts w:eastAsia="MS Mincho" w:cs="Arial"/>
        </w:rPr>
      </w:pPr>
      <w:r w:rsidRPr="00507902">
        <w:rPr>
          <w:rFonts w:eastAsia="MS Mincho" w:cs="Arial"/>
        </w:rPr>
        <w:t xml:space="preserve">A number of factors are likely to be relevant to a determination concerning the </w:t>
      </w:r>
      <w:r w:rsidRPr="00507902">
        <w:rPr>
          <w:rFonts w:cs="Arial"/>
        </w:rPr>
        <w:t>seriousness</w:t>
      </w:r>
      <w:r w:rsidRPr="00507902">
        <w:rPr>
          <w:rFonts w:eastAsia="MS Mincho" w:cs="Arial"/>
        </w:rPr>
        <w:t xml:space="preserve"> of an investigation into domestic violence.  These include whether or not the investigation was adequate in the context of known threats of violence, the severity and extent of those threats, past history of violence and the particular vulnerability of domestic violence victims.  In </w:t>
      </w:r>
      <w:r w:rsidRPr="00507902">
        <w:rPr>
          <w:rFonts w:eastAsia="MS Mincho" w:cs="Arial"/>
          <w:i/>
        </w:rPr>
        <w:t>Opuz v Turkey</w:t>
      </w:r>
      <w:r w:rsidRPr="00507902">
        <w:rPr>
          <w:rFonts w:eastAsia="MS Mincho" w:cs="Arial"/>
        </w:rPr>
        <w:t>, for example, the E</w:t>
      </w:r>
      <w:r w:rsidR="00262D1E">
        <w:rPr>
          <w:rFonts w:eastAsia="MS Mincho" w:cs="Arial"/>
        </w:rPr>
        <w:t>C</w:t>
      </w:r>
      <w:r w:rsidRPr="00507902">
        <w:rPr>
          <w:rFonts w:eastAsia="MS Mincho" w:cs="Arial"/>
        </w:rPr>
        <w:t>HR suggested that, in light of the ‘positive obligation to take preventive operational measures to protect an individual whose life is at risk, it might have been expected that the authorities, faced with a suspect known to have a criminal record of perpetrating violent attacks, would take special measures consonant with the gravity of the situation with a view to protecting’</w:t>
      </w:r>
      <w:r w:rsidRPr="00507902">
        <w:rPr>
          <w:rFonts w:eastAsia="MS Mincho" w:cs="Arial"/>
          <w:sz w:val="20"/>
          <w:szCs w:val="21"/>
          <w:vertAlign w:val="superscript"/>
        </w:rPr>
        <w:footnoteReference w:id="60"/>
      </w:r>
      <w:r w:rsidR="008C0235">
        <w:rPr>
          <w:rFonts w:eastAsia="MS Mincho" w:cs="Arial"/>
        </w:rPr>
        <w:t xml:space="preserve"> the victim against violence.</w:t>
      </w:r>
    </w:p>
    <w:p w:rsidR="00987552" w:rsidRPr="00507902" w:rsidRDefault="00987552" w:rsidP="006470B5">
      <w:pPr>
        <w:numPr>
          <w:ilvl w:val="0"/>
          <w:numId w:val="16"/>
        </w:numPr>
        <w:autoSpaceDE w:val="0"/>
        <w:autoSpaceDN w:val="0"/>
        <w:adjustRightInd w:val="0"/>
        <w:spacing w:before="0"/>
        <w:rPr>
          <w:rFonts w:eastAsia="MS Mincho" w:cs="Arial"/>
        </w:rPr>
      </w:pPr>
      <w:r w:rsidRPr="00507902">
        <w:rPr>
          <w:rFonts w:eastAsia="MS Mincho" w:cs="Arial"/>
        </w:rPr>
        <w:t xml:space="preserve">Treating domestic </w:t>
      </w:r>
      <w:r w:rsidRPr="00507902">
        <w:rPr>
          <w:rFonts w:cs="Arial"/>
        </w:rPr>
        <w:t>violence</w:t>
      </w:r>
      <w:r w:rsidRPr="00507902">
        <w:rPr>
          <w:rFonts w:eastAsia="MS Mincho" w:cs="Arial"/>
        </w:rPr>
        <w:t xml:space="preserve"> as a private matter, trying to convince a victim/survivor to drop a complaint of violence and/or blaming the victim for provoking the violent behaviour of the perpetrator are likely indicators that an investigation into allegations of violence is not being treated s</w:t>
      </w:r>
      <w:r w:rsidR="008C0235">
        <w:rPr>
          <w:rFonts w:eastAsia="MS Mincho" w:cs="Arial"/>
        </w:rPr>
        <w:t xml:space="preserve">eriously by </w:t>
      </w:r>
      <w:r w:rsidR="0099452E">
        <w:rPr>
          <w:rFonts w:eastAsia="MS Mincho" w:cs="Arial"/>
        </w:rPr>
        <w:t xml:space="preserve">State </w:t>
      </w:r>
      <w:r w:rsidR="008C0235">
        <w:rPr>
          <w:rFonts w:eastAsia="MS Mincho" w:cs="Arial"/>
        </w:rPr>
        <w:t>authorities.</w:t>
      </w:r>
      <w:r w:rsidRPr="00507902">
        <w:rPr>
          <w:rFonts w:eastAsia="MS Mincho" w:cs="Arial"/>
          <w:sz w:val="20"/>
          <w:vertAlign w:val="superscript"/>
        </w:rPr>
        <w:footnoteReference w:id="61"/>
      </w:r>
    </w:p>
    <w:p w:rsidR="00987552" w:rsidRPr="00507902" w:rsidRDefault="00987552" w:rsidP="006470B5">
      <w:pPr>
        <w:numPr>
          <w:ilvl w:val="0"/>
          <w:numId w:val="16"/>
        </w:numPr>
        <w:autoSpaceDE w:val="0"/>
        <w:autoSpaceDN w:val="0"/>
        <w:adjustRightInd w:val="0"/>
        <w:spacing w:before="0"/>
        <w:rPr>
          <w:rFonts w:eastAsia="MS Mincho" w:cs="Arial"/>
        </w:rPr>
      </w:pPr>
      <w:r w:rsidRPr="00507902">
        <w:rPr>
          <w:rFonts w:eastAsia="MS Mincho" w:cs="Arial"/>
        </w:rPr>
        <w:t xml:space="preserve">States are under a positive obligation to adopt measures to ensure that their authorities have the </w:t>
      </w:r>
      <w:r w:rsidRPr="00507902">
        <w:rPr>
          <w:rFonts w:cs="Arial"/>
        </w:rPr>
        <w:t>capacity</w:t>
      </w:r>
      <w:r w:rsidRPr="00507902">
        <w:rPr>
          <w:rFonts w:eastAsia="MS Mincho" w:cs="Arial"/>
        </w:rPr>
        <w:t xml:space="preserve"> and sensitivity to understand the seriousness of the phenomenon of violence against women and the willingness to act immediately.</w:t>
      </w:r>
      <w:r w:rsidRPr="00507902">
        <w:rPr>
          <w:rFonts w:eastAsia="MS Mincho" w:cs="Arial"/>
          <w:sz w:val="20"/>
          <w:vertAlign w:val="superscript"/>
        </w:rPr>
        <w:footnoteReference w:id="62"/>
      </w:r>
      <w:r w:rsidRPr="00507902">
        <w:rPr>
          <w:rFonts w:eastAsia="MS Mincho" w:cs="Arial"/>
        </w:rPr>
        <w:t xml:space="preserve"> This includes providing the competent authorities with the necessary training</w:t>
      </w:r>
      <w:r w:rsidR="00176AC2">
        <w:rPr>
          <w:rFonts w:eastAsia="MS Mincho" w:cs="Arial"/>
        </w:rPr>
        <w:t>, material and human</w:t>
      </w:r>
      <w:r w:rsidRPr="00507902">
        <w:rPr>
          <w:rFonts w:eastAsia="MS Mincho" w:cs="Arial"/>
        </w:rPr>
        <w:t xml:space="preserve"> resources to act with due diligence to investigate gender-based violence and would extend both to the technical aspects of investigations and the human rights and gender issues associated with violence.</w:t>
      </w:r>
      <w:r w:rsidRPr="00507902">
        <w:rPr>
          <w:rFonts w:eastAsia="MS Mincho" w:cs="Arial"/>
          <w:sz w:val="20"/>
          <w:vertAlign w:val="superscript"/>
        </w:rPr>
        <w:footnoteReference w:id="63"/>
      </w:r>
    </w:p>
    <w:p w:rsidR="00987552" w:rsidRPr="00B00FE0" w:rsidRDefault="00987552" w:rsidP="006470B5">
      <w:pPr>
        <w:keepNext/>
        <w:keepLines/>
        <w:numPr>
          <w:ilvl w:val="0"/>
          <w:numId w:val="15"/>
        </w:numPr>
        <w:spacing w:before="360"/>
        <w:outlineLvl w:val="0"/>
        <w:rPr>
          <w:rStyle w:val="Heading1Char"/>
          <w:rFonts w:eastAsia="MS Mincho"/>
        </w:rPr>
      </w:pPr>
      <w:r w:rsidRPr="00B00FE0">
        <w:rPr>
          <w:rStyle w:val="Heading1Char"/>
          <w:rFonts w:eastAsia="MS Mincho"/>
        </w:rPr>
        <w:lastRenderedPageBreak/>
        <w:t xml:space="preserve">Obligation upon </w:t>
      </w:r>
      <w:r w:rsidR="0099452E" w:rsidRPr="00B00FE0">
        <w:rPr>
          <w:rStyle w:val="Heading1Char"/>
          <w:rFonts w:eastAsia="MS Mincho"/>
        </w:rPr>
        <w:t xml:space="preserve">States </w:t>
      </w:r>
      <w:r w:rsidRPr="00B00FE0">
        <w:rPr>
          <w:rStyle w:val="Heading1Char"/>
          <w:rFonts w:eastAsia="MS Mincho"/>
        </w:rPr>
        <w:t xml:space="preserve">to take measures to protect children. </w:t>
      </w:r>
    </w:p>
    <w:p w:rsidR="00987552" w:rsidRPr="00507902" w:rsidRDefault="00987552" w:rsidP="006470B5">
      <w:pPr>
        <w:keepNext/>
        <w:numPr>
          <w:ilvl w:val="0"/>
          <w:numId w:val="16"/>
        </w:numPr>
        <w:autoSpaceDE w:val="0"/>
        <w:autoSpaceDN w:val="0"/>
        <w:adjustRightInd w:val="0"/>
        <w:spacing w:before="0"/>
        <w:ind w:left="714" w:hanging="357"/>
        <w:rPr>
          <w:rFonts w:cs="Arial"/>
        </w:rPr>
      </w:pPr>
      <w:r w:rsidRPr="00507902">
        <w:rPr>
          <w:rFonts w:cs="Arial"/>
        </w:rPr>
        <w:t>Article 3 of the Convention on the Rights of the Child requires that:</w:t>
      </w:r>
    </w:p>
    <w:p w:rsidR="00987552" w:rsidRPr="00507902" w:rsidRDefault="00987552" w:rsidP="00C27B8A">
      <w:pPr>
        <w:ind w:left="1440"/>
        <w:rPr>
          <w:rFonts w:cs="Arial"/>
          <w:sz w:val="22"/>
          <w:szCs w:val="22"/>
        </w:rPr>
      </w:pPr>
      <w:r w:rsidRPr="00507902">
        <w:rPr>
          <w:rFonts w:cs="Arial"/>
          <w:sz w:val="22"/>
          <w:szCs w:val="22"/>
        </w:rPr>
        <w:t xml:space="preserve">1. In all actions concerning children, whether undertaken by public or private social welfare institutions, courts of law, administrative authorities or legislative bodies, the best interests of the child shall be a primary consideration. </w:t>
      </w:r>
      <w:r w:rsidRPr="00507902">
        <w:rPr>
          <w:rFonts w:cs="Arial"/>
          <w:sz w:val="20"/>
          <w:szCs w:val="22"/>
          <w:vertAlign w:val="superscript"/>
        </w:rPr>
        <w:footnoteReference w:id="64"/>
      </w:r>
    </w:p>
    <w:p w:rsidR="00987552" w:rsidRPr="00507902" w:rsidRDefault="00987552" w:rsidP="006470B5">
      <w:pPr>
        <w:numPr>
          <w:ilvl w:val="0"/>
          <w:numId w:val="16"/>
        </w:numPr>
        <w:autoSpaceDE w:val="0"/>
        <w:autoSpaceDN w:val="0"/>
        <w:adjustRightInd w:val="0"/>
        <w:spacing w:before="0"/>
        <w:rPr>
          <w:rFonts w:cs="Arial"/>
        </w:rPr>
      </w:pPr>
      <w:r w:rsidRPr="00507902">
        <w:rPr>
          <w:rFonts w:cs="Arial"/>
        </w:rPr>
        <w:t xml:space="preserve"> In addition, Article 19 of the Convention on the Rights of the Child requires that:</w:t>
      </w:r>
    </w:p>
    <w:p w:rsidR="00987552" w:rsidRPr="00507902" w:rsidRDefault="00987552" w:rsidP="00C27B8A">
      <w:pPr>
        <w:ind w:left="1440"/>
        <w:rPr>
          <w:rFonts w:cs="Arial"/>
          <w:sz w:val="22"/>
          <w:szCs w:val="22"/>
        </w:rPr>
      </w:pPr>
      <w:r w:rsidRPr="00507902">
        <w:rPr>
          <w:rFonts w:cs="Arial"/>
          <w:sz w:val="22"/>
          <w:szCs w:val="22"/>
        </w:rPr>
        <w:t>1. States Parties shall take all appropriate legislative, administrative, social and educational measures to protect the child from all forms of physical or mental violence, injury or abuse, neglect or negligent treatment, maltreatment or exploitation, including sexual abuse, while in the care of parent(s), legal guardian(s) or any other person who has the care of the child.</w:t>
      </w:r>
    </w:p>
    <w:p w:rsidR="00987552" w:rsidRPr="00507902" w:rsidRDefault="00987552" w:rsidP="006470B5">
      <w:pPr>
        <w:numPr>
          <w:ilvl w:val="0"/>
          <w:numId w:val="16"/>
        </w:numPr>
        <w:autoSpaceDE w:val="0"/>
        <w:autoSpaceDN w:val="0"/>
        <w:adjustRightInd w:val="0"/>
        <w:spacing w:before="0"/>
        <w:rPr>
          <w:rFonts w:cs="Arial"/>
        </w:rPr>
      </w:pPr>
      <w:r w:rsidRPr="00507902">
        <w:rPr>
          <w:rFonts w:cs="Arial"/>
        </w:rPr>
        <w:t>It is well established that exposure to domestic violence can have detrimental psychological, behavioural, and health impacts upon children.  In Australia almost one in four children has witnessed violence against their mothers or step-mothers.</w:t>
      </w:r>
      <w:r w:rsidRPr="00507902">
        <w:rPr>
          <w:rFonts w:cs="Arial"/>
          <w:sz w:val="20"/>
          <w:vertAlign w:val="superscript"/>
        </w:rPr>
        <w:footnoteReference w:id="65"/>
      </w:r>
      <w:r w:rsidRPr="00507902">
        <w:rPr>
          <w:rFonts w:cs="Arial"/>
        </w:rPr>
        <w:t xml:space="preserve"> It has been found that </w:t>
      </w:r>
      <w:r w:rsidR="00DD761E">
        <w:rPr>
          <w:rFonts w:cs="Arial"/>
        </w:rPr>
        <w:t>42%</w:t>
      </w:r>
      <w:r w:rsidRPr="00507902">
        <w:rPr>
          <w:rFonts w:cs="Arial"/>
        </w:rPr>
        <w:t xml:space="preserve"> of Indigenous young people reported witnessing violence against their mother or stepmother, compared with 2</w:t>
      </w:r>
      <w:r w:rsidR="00DD761E">
        <w:rPr>
          <w:rFonts w:cs="Arial"/>
        </w:rPr>
        <w:t xml:space="preserve">3% </w:t>
      </w:r>
      <w:r w:rsidRPr="00507902">
        <w:rPr>
          <w:rFonts w:cs="Arial"/>
        </w:rPr>
        <w:t>of all children.</w:t>
      </w:r>
      <w:r w:rsidRPr="00507902">
        <w:rPr>
          <w:rFonts w:cs="Arial"/>
          <w:sz w:val="20"/>
          <w:vertAlign w:val="superscript"/>
        </w:rPr>
        <w:footnoteReference w:id="66"/>
      </w:r>
      <w:r w:rsidRPr="00507902">
        <w:rPr>
          <w:rFonts w:cs="Arial"/>
        </w:rPr>
        <w:t xml:space="preserve"> The National Council’s Plan for Australia to Reduce Violence Against Women and their Children recommends that the Australian Government work with State and Territory governments to ensure the National Framework for protecting Australia’s Children meets the needs of children who witness or experience domestic and family violence. </w:t>
      </w:r>
      <w:r w:rsidRPr="00507902">
        <w:rPr>
          <w:rFonts w:cs="Arial"/>
          <w:sz w:val="20"/>
          <w:vertAlign w:val="superscript"/>
        </w:rPr>
        <w:footnoteReference w:id="67"/>
      </w:r>
    </w:p>
    <w:p w:rsidR="00987552" w:rsidRDefault="00987552" w:rsidP="006470B5">
      <w:pPr>
        <w:numPr>
          <w:ilvl w:val="0"/>
          <w:numId w:val="16"/>
        </w:numPr>
        <w:autoSpaceDE w:val="0"/>
        <w:autoSpaceDN w:val="0"/>
        <w:adjustRightInd w:val="0"/>
        <w:spacing w:before="0"/>
        <w:rPr>
          <w:rFonts w:cs="Arial"/>
        </w:rPr>
      </w:pPr>
      <w:r w:rsidRPr="00507902">
        <w:rPr>
          <w:rFonts w:cs="Arial"/>
        </w:rPr>
        <w:t>The Committee on the Rights of the Child has acknowledged that violence against women in the family detrimentally affects children</w:t>
      </w:r>
      <w:r w:rsidRPr="00507902">
        <w:rPr>
          <w:rFonts w:cs="Arial"/>
          <w:sz w:val="22"/>
          <w:szCs w:val="22"/>
        </w:rPr>
        <w:t>.</w:t>
      </w:r>
      <w:r w:rsidRPr="00507902">
        <w:rPr>
          <w:rFonts w:cs="Arial"/>
          <w:sz w:val="20"/>
          <w:vertAlign w:val="superscript"/>
        </w:rPr>
        <w:footnoteReference w:id="68"/>
      </w:r>
      <w:r w:rsidRPr="00507902">
        <w:rPr>
          <w:rFonts w:cs="Arial"/>
        </w:rPr>
        <w:t xml:space="preserve"> </w:t>
      </w:r>
      <w:r w:rsidR="00612C7A">
        <w:rPr>
          <w:rFonts w:cs="Arial"/>
        </w:rPr>
        <w:t xml:space="preserve">In its most recent concluding </w:t>
      </w:r>
      <w:r w:rsidR="002A3493">
        <w:rPr>
          <w:rFonts w:cs="Arial"/>
        </w:rPr>
        <w:t>observations</w:t>
      </w:r>
      <w:r w:rsidR="00612C7A">
        <w:rPr>
          <w:rFonts w:cs="Arial"/>
        </w:rPr>
        <w:t xml:space="preserve"> on Australia it has indicated that it</w:t>
      </w:r>
    </w:p>
    <w:p w:rsidR="006C28E8" w:rsidRPr="006C28E8" w:rsidRDefault="00DD761E" w:rsidP="006C28E8">
      <w:pPr>
        <w:autoSpaceDE w:val="0"/>
        <w:autoSpaceDN w:val="0"/>
        <w:adjustRightInd w:val="0"/>
        <w:spacing w:before="0"/>
        <w:ind w:left="1440"/>
        <w:rPr>
          <w:rFonts w:cs="Arial"/>
          <w:sz w:val="22"/>
          <w:szCs w:val="22"/>
        </w:rPr>
      </w:pPr>
      <w:r>
        <w:rPr>
          <w:rFonts w:cs="Arial"/>
          <w:sz w:val="22"/>
          <w:szCs w:val="22"/>
        </w:rPr>
        <w:t>…</w:t>
      </w:r>
      <w:r w:rsidR="006C28E8" w:rsidRPr="006C28E8">
        <w:rPr>
          <w:rFonts w:cs="Arial"/>
          <w:sz w:val="22"/>
          <w:szCs w:val="22"/>
        </w:rPr>
        <w:t xml:space="preserve">is gravely concerned at the high levels of violence against women and children prevailing in the country and notes that there is an inherent risk that the co-existence of domestic violence, lawful corporal punishment, bullying, and other forms of violence in the society are inter-linked, conducing to an escalation and exacerbation of the situation. The Committee is particularly concerned that: </w:t>
      </w:r>
    </w:p>
    <w:p w:rsidR="006C28E8" w:rsidRPr="006C28E8" w:rsidRDefault="006C28E8" w:rsidP="006C28E8">
      <w:pPr>
        <w:autoSpaceDE w:val="0"/>
        <w:autoSpaceDN w:val="0"/>
        <w:adjustRightInd w:val="0"/>
        <w:spacing w:before="0"/>
        <w:ind w:left="2160"/>
        <w:rPr>
          <w:rFonts w:cs="Arial"/>
          <w:sz w:val="22"/>
          <w:szCs w:val="22"/>
        </w:rPr>
      </w:pPr>
      <w:r w:rsidRPr="006C28E8">
        <w:rPr>
          <w:rFonts w:cs="Arial"/>
          <w:sz w:val="22"/>
          <w:szCs w:val="22"/>
        </w:rPr>
        <w:lastRenderedPageBreak/>
        <w:t xml:space="preserve">(a) Women and children of Aboriginal origin are particularly affected; </w:t>
      </w:r>
    </w:p>
    <w:p w:rsidR="006C28E8" w:rsidRPr="006C28E8" w:rsidRDefault="006C28E8" w:rsidP="006C28E8">
      <w:pPr>
        <w:autoSpaceDE w:val="0"/>
        <w:autoSpaceDN w:val="0"/>
        <w:adjustRightInd w:val="0"/>
        <w:spacing w:before="0"/>
        <w:ind w:left="2160"/>
        <w:rPr>
          <w:rFonts w:cs="Arial"/>
          <w:sz w:val="22"/>
          <w:szCs w:val="22"/>
        </w:rPr>
      </w:pPr>
      <w:r w:rsidRPr="006C28E8">
        <w:rPr>
          <w:rFonts w:cs="Arial"/>
          <w:sz w:val="22"/>
          <w:szCs w:val="22"/>
        </w:rPr>
        <w:t>…</w:t>
      </w:r>
    </w:p>
    <w:p w:rsidR="006C28E8" w:rsidRPr="006C28E8" w:rsidRDefault="006C28E8" w:rsidP="006C28E8">
      <w:pPr>
        <w:autoSpaceDE w:val="0"/>
        <w:autoSpaceDN w:val="0"/>
        <w:adjustRightInd w:val="0"/>
        <w:spacing w:before="0"/>
        <w:ind w:left="2160"/>
        <w:rPr>
          <w:rFonts w:cs="Arial"/>
          <w:sz w:val="22"/>
          <w:szCs w:val="22"/>
        </w:rPr>
      </w:pPr>
      <w:r w:rsidRPr="006C28E8">
        <w:rPr>
          <w:rFonts w:cs="Arial"/>
          <w:sz w:val="22"/>
          <w:szCs w:val="22"/>
        </w:rPr>
        <w:t xml:space="preserve">(c) Programmes for the reintegration of child victims of domestic violence remain inadequate including because of the absence of monitoring systems of children victims who are reintegrated with their families; </w:t>
      </w:r>
    </w:p>
    <w:p w:rsidR="006C28E8" w:rsidRPr="006C28E8" w:rsidRDefault="006C28E8" w:rsidP="006C28E8">
      <w:pPr>
        <w:autoSpaceDE w:val="0"/>
        <w:autoSpaceDN w:val="0"/>
        <w:adjustRightInd w:val="0"/>
        <w:spacing w:before="0"/>
        <w:ind w:left="2160"/>
        <w:rPr>
          <w:rFonts w:cs="Arial"/>
        </w:rPr>
      </w:pPr>
      <w:r w:rsidRPr="006C28E8">
        <w:rPr>
          <w:rFonts w:cs="Arial"/>
          <w:sz w:val="22"/>
          <w:szCs w:val="22"/>
        </w:rPr>
        <w:t xml:space="preserve">(d) There is a lack of attention and specific procedures in cases where family members are the perpetrators of </w:t>
      </w:r>
      <w:r w:rsidR="00DD761E">
        <w:rPr>
          <w:rFonts w:cs="Arial"/>
          <w:sz w:val="22"/>
          <w:szCs w:val="22"/>
        </w:rPr>
        <w:t>…</w:t>
      </w:r>
      <w:r>
        <w:rPr>
          <w:rFonts w:cs="Arial"/>
          <w:sz w:val="22"/>
          <w:szCs w:val="22"/>
        </w:rPr>
        <w:t>;</w:t>
      </w:r>
    </w:p>
    <w:p w:rsidR="006C28E8" w:rsidRPr="00612C7A" w:rsidRDefault="006C28E8" w:rsidP="00612C7A">
      <w:pPr>
        <w:autoSpaceDE w:val="0"/>
        <w:autoSpaceDN w:val="0"/>
        <w:adjustRightInd w:val="0"/>
        <w:spacing w:before="0"/>
        <w:ind w:left="1440"/>
        <w:rPr>
          <w:rFonts w:cs="Arial"/>
          <w:sz w:val="22"/>
          <w:szCs w:val="22"/>
        </w:rPr>
      </w:pPr>
      <w:r w:rsidRPr="00612C7A">
        <w:rPr>
          <w:rFonts w:cs="Arial"/>
          <w:sz w:val="22"/>
          <w:szCs w:val="22"/>
        </w:rPr>
        <w:t xml:space="preserve">46. Emphasising the State party’s obligations under articles 19 and 37(a) of the Convention and the Committee’s General Comment 13 (2011) on the right of the child to freedom from all forms </w:t>
      </w:r>
      <w:r w:rsidR="00612C7A">
        <w:rPr>
          <w:rFonts w:cs="Arial"/>
          <w:sz w:val="22"/>
          <w:szCs w:val="22"/>
        </w:rPr>
        <w:t>of violence, the Committee urges</w:t>
      </w:r>
      <w:r w:rsidRPr="00612C7A">
        <w:rPr>
          <w:rFonts w:cs="Arial"/>
          <w:sz w:val="22"/>
          <w:szCs w:val="22"/>
        </w:rPr>
        <w:t xml:space="preserve"> the State party to develop federal legislation as a general framework to reduce violence and promote the enactment of similar and complementary legislation at state and territory level. It also recommends that the State party adopt a specific plan of action to make operational the provisions under the National Plan to Reduce Violence against Women and Their Children (2010-2022), including such measures as: </w:t>
      </w:r>
    </w:p>
    <w:p w:rsidR="006C28E8" w:rsidRPr="00612C7A" w:rsidRDefault="006C28E8" w:rsidP="00612C7A">
      <w:pPr>
        <w:autoSpaceDE w:val="0"/>
        <w:autoSpaceDN w:val="0"/>
        <w:adjustRightInd w:val="0"/>
        <w:spacing w:before="0"/>
        <w:ind w:left="2160"/>
        <w:rPr>
          <w:rFonts w:cs="Arial"/>
          <w:sz w:val="22"/>
          <w:szCs w:val="22"/>
        </w:rPr>
      </w:pPr>
      <w:r w:rsidRPr="00612C7A">
        <w:rPr>
          <w:rFonts w:cs="Arial"/>
          <w:sz w:val="22"/>
          <w:szCs w:val="22"/>
        </w:rPr>
        <w:t xml:space="preserve">(a) Ensuring that the factors contributing to the high levels of violence among Aboriginal women and children are well understood and addressed in national and state/territory plans; </w:t>
      </w:r>
    </w:p>
    <w:p w:rsidR="006C28E8" w:rsidRDefault="006C28E8" w:rsidP="00612C7A">
      <w:pPr>
        <w:autoSpaceDE w:val="0"/>
        <w:autoSpaceDN w:val="0"/>
        <w:adjustRightInd w:val="0"/>
        <w:spacing w:before="0"/>
        <w:ind w:left="2160"/>
        <w:rPr>
          <w:rFonts w:cs="Arial"/>
          <w:sz w:val="22"/>
          <w:szCs w:val="22"/>
        </w:rPr>
      </w:pPr>
      <w:r w:rsidRPr="00612C7A">
        <w:rPr>
          <w:rFonts w:cs="Arial"/>
          <w:sz w:val="22"/>
          <w:szCs w:val="22"/>
        </w:rPr>
        <w:t xml:space="preserve"> (c) Establishing mechanisms for ensuring effective follow-up support for child victims of domestic violence upon their family reintegration; </w:t>
      </w:r>
    </w:p>
    <w:p w:rsidR="00612C7A" w:rsidRPr="00612C7A" w:rsidRDefault="00612C7A" w:rsidP="00612C7A">
      <w:pPr>
        <w:autoSpaceDE w:val="0"/>
        <w:autoSpaceDN w:val="0"/>
        <w:adjustRightInd w:val="0"/>
        <w:spacing w:before="0"/>
        <w:ind w:left="2160"/>
        <w:rPr>
          <w:rFonts w:cs="Arial"/>
          <w:sz w:val="22"/>
          <w:szCs w:val="22"/>
        </w:rPr>
      </w:pPr>
      <w:r>
        <w:rPr>
          <w:rFonts w:cs="Arial"/>
          <w:sz w:val="22"/>
          <w:szCs w:val="22"/>
        </w:rPr>
        <w:t>…</w:t>
      </w:r>
    </w:p>
    <w:p w:rsidR="006C28E8" w:rsidRPr="00612C7A" w:rsidRDefault="006C28E8" w:rsidP="00612C7A">
      <w:pPr>
        <w:autoSpaceDE w:val="0"/>
        <w:autoSpaceDN w:val="0"/>
        <w:adjustRightInd w:val="0"/>
        <w:spacing w:before="0"/>
        <w:ind w:left="2160"/>
        <w:rPr>
          <w:rFonts w:cs="Arial"/>
          <w:sz w:val="22"/>
          <w:szCs w:val="22"/>
        </w:rPr>
      </w:pPr>
      <w:r w:rsidRPr="00612C7A">
        <w:rPr>
          <w:rFonts w:cs="Arial"/>
          <w:sz w:val="22"/>
          <w:szCs w:val="22"/>
        </w:rPr>
        <w:t>(d) Developing alternatives for cases where a parent or other family</w:t>
      </w:r>
      <w:r w:rsidR="00612C7A">
        <w:rPr>
          <w:rFonts w:cs="Arial"/>
          <w:sz w:val="22"/>
          <w:szCs w:val="22"/>
        </w:rPr>
        <w:t xml:space="preserve"> member is the perpetrator; …</w:t>
      </w:r>
      <w:r w:rsidR="00612C7A">
        <w:rPr>
          <w:rStyle w:val="FootnoteReference"/>
          <w:rFonts w:cs="Arial"/>
          <w:szCs w:val="22"/>
        </w:rPr>
        <w:footnoteReference w:id="69"/>
      </w:r>
    </w:p>
    <w:p w:rsidR="00987552" w:rsidRPr="00507902" w:rsidRDefault="00987552" w:rsidP="006470B5">
      <w:pPr>
        <w:pStyle w:val="Heading1"/>
        <w:numPr>
          <w:ilvl w:val="0"/>
          <w:numId w:val="15"/>
        </w:numPr>
        <w:rPr>
          <w:rFonts w:eastAsia="MS Mincho" w:cs="Arial"/>
        </w:rPr>
      </w:pPr>
      <w:r w:rsidRPr="00507902">
        <w:rPr>
          <w:rFonts w:eastAsia="MS Mincho" w:cs="Arial"/>
        </w:rPr>
        <w:t xml:space="preserve">Failure to fulfil </w:t>
      </w:r>
      <w:r w:rsidR="007D1174">
        <w:rPr>
          <w:rFonts w:eastAsia="MS Mincho" w:cs="Arial"/>
        </w:rPr>
        <w:t>Australia’s</w:t>
      </w:r>
      <w:r w:rsidR="007D1174" w:rsidRPr="00507902">
        <w:rPr>
          <w:rFonts w:eastAsia="MS Mincho" w:cs="Arial"/>
        </w:rPr>
        <w:t xml:space="preserve"> </w:t>
      </w:r>
      <w:r w:rsidRPr="00507902">
        <w:rPr>
          <w:rFonts w:eastAsia="MS Mincho" w:cs="Arial"/>
        </w:rPr>
        <w:t>human rights obligations</w:t>
      </w:r>
    </w:p>
    <w:p w:rsidR="00987552" w:rsidRPr="00507902" w:rsidRDefault="00987552" w:rsidP="006470B5">
      <w:pPr>
        <w:numPr>
          <w:ilvl w:val="0"/>
          <w:numId w:val="16"/>
        </w:numPr>
        <w:autoSpaceDE w:val="0"/>
        <w:autoSpaceDN w:val="0"/>
        <w:adjustRightInd w:val="0"/>
        <w:spacing w:before="0"/>
        <w:rPr>
          <w:rFonts w:cs="Arial"/>
        </w:rPr>
      </w:pPr>
      <w:r w:rsidRPr="00507902">
        <w:rPr>
          <w:rFonts w:cs="Arial"/>
        </w:rPr>
        <w:t>The evidence in this matter demonstrates a range of systemic failures that contributed to Andrea’s death. In particular:</w:t>
      </w:r>
    </w:p>
    <w:p w:rsidR="00987552" w:rsidRPr="00507902" w:rsidRDefault="00987552" w:rsidP="006470B5">
      <w:pPr>
        <w:numPr>
          <w:ilvl w:val="1"/>
          <w:numId w:val="16"/>
        </w:numPr>
        <w:autoSpaceDE w:val="0"/>
        <w:autoSpaceDN w:val="0"/>
        <w:adjustRightInd w:val="0"/>
        <w:spacing w:before="0"/>
        <w:ind w:left="1434" w:hanging="357"/>
        <w:rPr>
          <w:rFonts w:cs="Arial"/>
        </w:rPr>
      </w:pPr>
      <w:r w:rsidRPr="00507902">
        <w:rPr>
          <w:rFonts w:cs="Arial"/>
        </w:rPr>
        <w:t xml:space="preserve">The failure of the Violence Restraining Order to prevent Andrea’s death. This failure arose as a </w:t>
      </w:r>
      <w:r w:rsidRPr="006F48E4">
        <w:rPr>
          <w:rFonts w:eastAsia="MS Mincho" w:cs="Arial"/>
        </w:rPr>
        <w:t>result</w:t>
      </w:r>
      <w:r w:rsidRPr="00507902">
        <w:rPr>
          <w:rFonts w:cs="Arial"/>
        </w:rPr>
        <w:t xml:space="preserve"> of failure to investigate breaches of the </w:t>
      </w:r>
      <w:r w:rsidR="00EF5AA9" w:rsidRPr="00507902">
        <w:rPr>
          <w:rFonts w:cs="Arial"/>
        </w:rPr>
        <w:t xml:space="preserve">Orders </w:t>
      </w:r>
      <w:r w:rsidRPr="00507902">
        <w:rPr>
          <w:rFonts w:cs="Arial"/>
        </w:rPr>
        <w:t>promptly, thoroughly and seriously.</w:t>
      </w:r>
    </w:p>
    <w:p w:rsidR="00987552" w:rsidRPr="00507902" w:rsidRDefault="00987552" w:rsidP="006470B5">
      <w:pPr>
        <w:numPr>
          <w:ilvl w:val="1"/>
          <w:numId w:val="16"/>
        </w:numPr>
        <w:autoSpaceDE w:val="0"/>
        <w:autoSpaceDN w:val="0"/>
        <w:adjustRightInd w:val="0"/>
        <w:spacing w:before="0"/>
        <w:ind w:left="1434" w:hanging="357"/>
        <w:rPr>
          <w:rFonts w:cs="Arial"/>
        </w:rPr>
      </w:pPr>
      <w:r w:rsidRPr="00507902">
        <w:rPr>
          <w:rFonts w:cs="Arial"/>
        </w:rPr>
        <w:t xml:space="preserve">The </w:t>
      </w:r>
      <w:r w:rsidRPr="006F48E4">
        <w:rPr>
          <w:rFonts w:eastAsia="MS Mincho" w:cs="Arial"/>
        </w:rPr>
        <w:t>failure</w:t>
      </w:r>
      <w:r w:rsidRPr="00507902">
        <w:rPr>
          <w:rFonts w:cs="Arial"/>
        </w:rPr>
        <w:t xml:space="preserve"> of the Parole system to prevent re-offending. In particular the parole system failed to:</w:t>
      </w:r>
    </w:p>
    <w:p w:rsidR="00987552" w:rsidRPr="00507902" w:rsidRDefault="00987552" w:rsidP="006470B5">
      <w:pPr>
        <w:numPr>
          <w:ilvl w:val="2"/>
          <w:numId w:val="16"/>
        </w:numPr>
        <w:autoSpaceDE w:val="0"/>
        <w:autoSpaceDN w:val="0"/>
        <w:adjustRightInd w:val="0"/>
        <w:spacing w:before="0"/>
        <w:rPr>
          <w:rFonts w:cs="Arial"/>
        </w:rPr>
      </w:pPr>
      <w:r w:rsidRPr="00507902">
        <w:rPr>
          <w:rFonts w:cs="Arial"/>
        </w:rPr>
        <w:lastRenderedPageBreak/>
        <w:t xml:space="preserve">Ensure that Mr Pickett was detained in circumstances where </w:t>
      </w:r>
      <w:r w:rsidR="000F455A">
        <w:rPr>
          <w:rFonts w:cs="Arial"/>
        </w:rPr>
        <w:t xml:space="preserve">it </w:t>
      </w:r>
      <w:r w:rsidR="000F455A" w:rsidRPr="000F455A">
        <w:rPr>
          <w:rFonts w:cs="Arial"/>
        </w:rPr>
        <w:t xml:space="preserve">knew or ought to have known at the time of the existence of a real and immediate risk to </w:t>
      </w:r>
      <w:r w:rsidR="000F455A" w:rsidRPr="00507902">
        <w:rPr>
          <w:rFonts w:cs="Arial"/>
        </w:rPr>
        <w:t>Andrea’s life</w:t>
      </w:r>
      <w:r w:rsidRPr="00507902">
        <w:rPr>
          <w:rFonts w:cs="Arial"/>
        </w:rPr>
        <w:t>.</w:t>
      </w:r>
    </w:p>
    <w:p w:rsidR="00987552" w:rsidRPr="00507902" w:rsidRDefault="00987552" w:rsidP="006470B5">
      <w:pPr>
        <w:numPr>
          <w:ilvl w:val="2"/>
          <w:numId w:val="16"/>
        </w:numPr>
        <w:autoSpaceDE w:val="0"/>
        <w:autoSpaceDN w:val="0"/>
        <w:adjustRightInd w:val="0"/>
        <w:spacing w:before="0"/>
        <w:rPr>
          <w:rFonts w:cs="Arial"/>
        </w:rPr>
      </w:pPr>
      <w:r w:rsidRPr="00B67F33">
        <w:rPr>
          <w:rFonts w:eastAsia="MS Mincho" w:cs="Arial"/>
        </w:rPr>
        <w:t>Adequately</w:t>
      </w:r>
      <w:r w:rsidRPr="00507902">
        <w:rPr>
          <w:rFonts w:cs="Arial"/>
        </w:rPr>
        <w:t xml:space="preserve"> supervise Mr Pickett, in contravention of s 31 of the </w:t>
      </w:r>
      <w:r w:rsidRPr="00507902">
        <w:rPr>
          <w:rFonts w:cs="Arial"/>
          <w:i/>
        </w:rPr>
        <w:t>Sentence Administration Act 2003</w:t>
      </w:r>
      <w:r w:rsidR="00EF5AA9">
        <w:rPr>
          <w:rFonts w:cs="Arial"/>
        </w:rPr>
        <w:t xml:space="preserve"> (WA)</w:t>
      </w:r>
      <w:r w:rsidRPr="00507902">
        <w:rPr>
          <w:rFonts w:cs="Arial"/>
          <w:i/>
        </w:rPr>
        <w:t xml:space="preserve">. </w:t>
      </w:r>
      <w:r w:rsidRPr="00507902">
        <w:rPr>
          <w:rFonts w:cs="Arial"/>
        </w:rPr>
        <w:t>In particular:</w:t>
      </w:r>
    </w:p>
    <w:p w:rsidR="00987552" w:rsidRPr="00361030" w:rsidRDefault="00987552" w:rsidP="006470B5">
      <w:pPr>
        <w:numPr>
          <w:ilvl w:val="3"/>
          <w:numId w:val="16"/>
        </w:numPr>
        <w:autoSpaceDE w:val="0"/>
        <w:autoSpaceDN w:val="0"/>
        <w:adjustRightInd w:val="0"/>
        <w:spacing w:before="0"/>
        <w:rPr>
          <w:rFonts w:eastAsia="MS Mincho" w:cs="Arial"/>
        </w:rPr>
      </w:pPr>
      <w:r w:rsidRPr="00361030">
        <w:rPr>
          <w:rFonts w:eastAsia="MS Mincho" w:cs="Arial"/>
        </w:rPr>
        <w:t xml:space="preserve">failing to adequately assess the risk and appropriate level of supervision </w:t>
      </w:r>
      <w:r w:rsidR="00EF5AA9">
        <w:rPr>
          <w:rFonts w:eastAsia="MS Mincho" w:cs="Arial"/>
        </w:rPr>
        <w:t xml:space="preserve">required for Mr Pickett </w:t>
      </w:r>
      <w:r w:rsidRPr="00361030">
        <w:rPr>
          <w:rFonts w:eastAsia="MS Mincho" w:cs="Arial"/>
        </w:rPr>
        <w:t>despite relevant and cogent information being available</w:t>
      </w:r>
      <w:r w:rsidR="000F455A">
        <w:rPr>
          <w:rFonts w:eastAsia="MS Mincho" w:cs="Arial"/>
        </w:rPr>
        <w:t>.</w:t>
      </w:r>
    </w:p>
    <w:p w:rsidR="00987552" w:rsidRPr="00361030" w:rsidRDefault="00987552" w:rsidP="006470B5">
      <w:pPr>
        <w:numPr>
          <w:ilvl w:val="3"/>
          <w:numId w:val="16"/>
        </w:numPr>
        <w:autoSpaceDE w:val="0"/>
        <w:autoSpaceDN w:val="0"/>
        <w:adjustRightInd w:val="0"/>
        <w:spacing w:before="0"/>
        <w:rPr>
          <w:rFonts w:eastAsia="MS Mincho" w:cs="Arial"/>
        </w:rPr>
      </w:pPr>
      <w:r w:rsidRPr="00361030">
        <w:rPr>
          <w:rFonts w:eastAsia="MS Mincho" w:cs="Arial"/>
        </w:rPr>
        <w:t>failing to ensure Mr Pickett had adequate counselling both before and after his release, particularly in circumstances where he had requested further counselling</w:t>
      </w:r>
      <w:r w:rsidR="000F455A">
        <w:rPr>
          <w:rFonts w:eastAsia="MS Mincho" w:cs="Arial"/>
        </w:rPr>
        <w:t>.</w:t>
      </w:r>
    </w:p>
    <w:p w:rsidR="00987552" w:rsidRPr="00361030" w:rsidRDefault="00987552" w:rsidP="006470B5">
      <w:pPr>
        <w:numPr>
          <w:ilvl w:val="3"/>
          <w:numId w:val="16"/>
        </w:numPr>
        <w:autoSpaceDE w:val="0"/>
        <w:autoSpaceDN w:val="0"/>
        <w:adjustRightInd w:val="0"/>
        <w:spacing w:before="0"/>
        <w:rPr>
          <w:rFonts w:eastAsia="MS Mincho" w:cs="Arial"/>
        </w:rPr>
      </w:pPr>
      <w:r w:rsidRPr="00361030">
        <w:rPr>
          <w:rFonts w:eastAsia="MS Mincho" w:cs="Arial"/>
        </w:rPr>
        <w:t xml:space="preserve">releasing Mr Pickett to Narembeen with the condition that he attend counselling when it was known that the </w:t>
      </w:r>
      <w:r w:rsidR="00EF5AA9" w:rsidRPr="00361030">
        <w:rPr>
          <w:rFonts w:eastAsia="MS Mincho" w:cs="Arial"/>
        </w:rPr>
        <w:t xml:space="preserve">available </w:t>
      </w:r>
      <w:r w:rsidRPr="00361030">
        <w:rPr>
          <w:rFonts w:eastAsia="MS Mincho" w:cs="Arial"/>
        </w:rPr>
        <w:t>services were difficult to obtain and not adequate in the circumstances</w:t>
      </w:r>
      <w:r w:rsidR="000F455A">
        <w:rPr>
          <w:rFonts w:eastAsia="MS Mincho" w:cs="Arial"/>
        </w:rPr>
        <w:t>.</w:t>
      </w:r>
    </w:p>
    <w:p w:rsidR="00987552" w:rsidRPr="00361030" w:rsidRDefault="00987552" w:rsidP="006470B5">
      <w:pPr>
        <w:numPr>
          <w:ilvl w:val="3"/>
          <w:numId w:val="16"/>
        </w:numPr>
        <w:autoSpaceDE w:val="0"/>
        <w:autoSpaceDN w:val="0"/>
        <w:adjustRightInd w:val="0"/>
        <w:spacing w:before="0"/>
        <w:rPr>
          <w:rFonts w:eastAsia="MS Mincho" w:cs="Arial"/>
        </w:rPr>
      </w:pPr>
      <w:r w:rsidRPr="00361030">
        <w:rPr>
          <w:rFonts w:eastAsia="MS Mincho" w:cs="Arial"/>
        </w:rPr>
        <w:t>treating the distance from Narembeen to Perth as a safety factor in circumstances where it was known that he was authorised to travel to Perth to have access to his children.</w:t>
      </w:r>
    </w:p>
    <w:p w:rsidR="00987552" w:rsidRPr="00361030" w:rsidRDefault="00987552" w:rsidP="006470B5">
      <w:pPr>
        <w:numPr>
          <w:ilvl w:val="3"/>
          <w:numId w:val="16"/>
        </w:numPr>
        <w:autoSpaceDE w:val="0"/>
        <w:autoSpaceDN w:val="0"/>
        <w:adjustRightInd w:val="0"/>
        <w:spacing w:before="0"/>
        <w:rPr>
          <w:rFonts w:eastAsia="MS Mincho" w:cs="Arial"/>
        </w:rPr>
      </w:pPr>
      <w:r w:rsidRPr="00361030">
        <w:rPr>
          <w:rFonts w:eastAsia="MS Mincho" w:cs="Arial"/>
        </w:rPr>
        <w:t>failing to adequately monitor his compliance with the conditions of his Parole Order.</w:t>
      </w:r>
    </w:p>
    <w:p w:rsidR="00987552" w:rsidRPr="00361030" w:rsidRDefault="00987552" w:rsidP="006470B5">
      <w:pPr>
        <w:numPr>
          <w:ilvl w:val="3"/>
          <w:numId w:val="16"/>
        </w:numPr>
        <w:autoSpaceDE w:val="0"/>
        <w:autoSpaceDN w:val="0"/>
        <w:adjustRightInd w:val="0"/>
        <w:spacing w:before="0"/>
        <w:rPr>
          <w:rFonts w:eastAsia="MS Mincho" w:cs="Arial"/>
        </w:rPr>
      </w:pPr>
      <w:r w:rsidRPr="00361030">
        <w:rPr>
          <w:rFonts w:eastAsia="MS Mincho" w:cs="Arial"/>
        </w:rPr>
        <w:t>failing to ensure that breaches of the conditions of the Parole Order were adequately dealt with</w:t>
      </w:r>
      <w:r w:rsidR="000F455A">
        <w:rPr>
          <w:rFonts w:eastAsia="MS Mincho" w:cs="Arial"/>
        </w:rPr>
        <w:t>.</w:t>
      </w:r>
    </w:p>
    <w:p w:rsidR="00987552" w:rsidRPr="00507902" w:rsidRDefault="00987552" w:rsidP="006470B5">
      <w:pPr>
        <w:numPr>
          <w:ilvl w:val="1"/>
          <w:numId w:val="16"/>
        </w:numPr>
        <w:autoSpaceDE w:val="0"/>
        <w:autoSpaceDN w:val="0"/>
        <w:adjustRightInd w:val="0"/>
        <w:spacing w:before="0"/>
        <w:ind w:left="1434" w:hanging="357"/>
        <w:rPr>
          <w:rFonts w:cs="Arial"/>
        </w:rPr>
      </w:pPr>
      <w:r w:rsidRPr="00507902">
        <w:rPr>
          <w:rFonts w:cs="Arial"/>
        </w:rPr>
        <w:t>The failure to promptly, thoroughly and seriously investigate allegations of domestic violence. In particular, the lack of integration of police systems and practices and the lack of integration of police, Department of Corrective Services and Department of Child Protection systems to ensure maximisation of knowledge and information available to investigate allegations and protect Andrea and her children.</w:t>
      </w:r>
    </w:p>
    <w:p w:rsidR="00987552" w:rsidRPr="00507902" w:rsidRDefault="00987552" w:rsidP="006470B5">
      <w:pPr>
        <w:numPr>
          <w:ilvl w:val="1"/>
          <w:numId w:val="16"/>
        </w:numPr>
        <w:autoSpaceDE w:val="0"/>
        <w:autoSpaceDN w:val="0"/>
        <w:adjustRightInd w:val="0"/>
        <w:spacing w:before="0"/>
        <w:ind w:left="1434" w:hanging="357"/>
        <w:rPr>
          <w:rFonts w:cs="Arial"/>
        </w:rPr>
      </w:pPr>
      <w:r w:rsidRPr="00507902">
        <w:rPr>
          <w:rFonts w:cs="Arial"/>
        </w:rPr>
        <w:t>The failure to provide adequate training to Police Officers regarding the nature and consequences of domestic violence and how to respond appropriately to situati</w:t>
      </w:r>
      <w:r w:rsidR="00651B0B">
        <w:rPr>
          <w:rFonts w:cs="Arial"/>
        </w:rPr>
        <w:t>ons involving domestic violence, particularly in relation to Aboriginal women.</w:t>
      </w:r>
    </w:p>
    <w:p w:rsidR="00987552" w:rsidRDefault="00987552" w:rsidP="006470B5">
      <w:pPr>
        <w:numPr>
          <w:ilvl w:val="1"/>
          <w:numId w:val="16"/>
        </w:numPr>
        <w:autoSpaceDE w:val="0"/>
        <w:autoSpaceDN w:val="0"/>
        <w:adjustRightInd w:val="0"/>
        <w:spacing w:before="0"/>
        <w:ind w:left="1434" w:hanging="357"/>
        <w:rPr>
          <w:rFonts w:cs="Arial"/>
        </w:rPr>
      </w:pPr>
      <w:r w:rsidRPr="00507902">
        <w:rPr>
          <w:rFonts w:cs="Arial"/>
        </w:rPr>
        <w:t>The failure to provide adequate housing for Andrea and her children.</w:t>
      </w:r>
    </w:p>
    <w:p w:rsidR="00651B0B" w:rsidRPr="009A390D" w:rsidRDefault="00651B0B" w:rsidP="006470B5">
      <w:pPr>
        <w:numPr>
          <w:ilvl w:val="1"/>
          <w:numId w:val="16"/>
        </w:numPr>
        <w:autoSpaceDE w:val="0"/>
        <w:autoSpaceDN w:val="0"/>
        <w:adjustRightInd w:val="0"/>
        <w:spacing w:before="0"/>
        <w:ind w:left="1434" w:hanging="357"/>
        <w:rPr>
          <w:rFonts w:cs="Arial"/>
        </w:rPr>
      </w:pPr>
      <w:r w:rsidRPr="009A390D">
        <w:rPr>
          <w:rFonts w:cs="Arial"/>
        </w:rPr>
        <w:t>The failure to ensure that the best interests of the child</w:t>
      </w:r>
      <w:r w:rsidR="009A390D" w:rsidRPr="009A390D">
        <w:rPr>
          <w:rFonts w:cs="Arial"/>
        </w:rPr>
        <w:t xml:space="preserve"> were a paramount consideration in particular in relation to the youngest child of Andrea and Mr Pickett on the night of the murder.</w:t>
      </w:r>
    </w:p>
    <w:p w:rsidR="00987552" w:rsidRPr="00507902" w:rsidRDefault="00987552" w:rsidP="006470B5">
      <w:pPr>
        <w:pStyle w:val="Heading1"/>
        <w:numPr>
          <w:ilvl w:val="0"/>
          <w:numId w:val="15"/>
        </w:numPr>
        <w:rPr>
          <w:rFonts w:eastAsia="MS Mincho" w:cs="Arial"/>
        </w:rPr>
      </w:pPr>
      <w:r w:rsidRPr="00507902">
        <w:rPr>
          <w:rFonts w:eastAsia="MS Mincho" w:cs="Arial"/>
        </w:rPr>
        <w:lastRenderedPageBreak/>
        <w:t>Recommendations</w:t>
      </w:r>
    </w:p>
    <w:p w:rsidR="00987552" w:rsidRPr="00507902" w:rsidRDefault="00987552" w:rsidP="006470B5">
      <w:pPr>
        <w:numPr>
          <w:ilvl w:val="0"/>
          <w:numId w:val="16"/>
        </w:numPr>
        <w:autoSpaceDE w:val="0"/>
        <w:autoSpaceDN w:val="0"/>
        <w:adjustRightInd w:val="0"/>
        <w:spacing w:before="0"/>
        <w:rPr>
          <w:rFonts w:cs="Arial"/>
        </w:rPr>
      </w:pPr>
      <w:r w:rsidRPr="00507902">
        <w:rPr>
          <w:rFonts w:cs="Arial"/>
        </w:rPr>
        <w:t xml:space="preserve">The Commission acknowledges that the State has taken significant steps to address the above failings and continues to assess their systems and implement appropriate changes. On the available evidence it is difficult to determine the extent to which the measures taken have addressed these failings. </w:t>
      </w:r>
    </w:p>
    <w:p w:rsidR="00987552" w:rsidRPr="00507902" w:rsidRDefault="00987552" w:rsidP="006470B5">
      <w:pPr>
        <w:numPr>
          <w:ilvl w:val="0"/>
          <w:numId w:val="16"/>
        </w:numPr>
        <w:autoSpaceDE w:val="0"/>
        <w:autoSpaceDN w:val="0"/>
        <w:adjustRightInd w:val="0"/>
        <w:spacing w:before="0"/>
        <w:rPr>
          <w:rFonts w:cs="Arial"/>
        </w:rPr>
      </w:pPr>
      <w:r w:rsidRPr="00507902">
        <w:rPr>
          <w:rFonts w:cs="Arial"/>
        </w:rPr>
        <w:t>In order to ensure the State is fulfilling its obligations in relation to domestic violence it is recommended that:</w:t>
      </w:r>
    </w:p>
    <w:p w:rsidR="00A8441D" w:rsidRPr="00507902" w:rsidRDefault="00532CF7" w:rsidP="00A76D31">
      <w:pPr>
        <w:pStyle w:val="Heading2"/>
      </w:pPr>
      <w:r>
        <w:t>General r</w:t>
      </w:r>
      <w:bookmarkStart w:id="2" w:name="_GoBack"/>
      <w:bookmarkEnd w:id="2"/>
      <w:r w:rsidR="00A8441D" w:rsidRPr="00507902">
        <w:t>ecommendation</w:t>
      </w:r>
    </w:p>
    <w:p w:rsidR="00FC4244" w:rsidRPr="00AC4913" w:rsidRDefault="00FC4244" w:rsidP="006470B5">
      <w:pPr>
        <w:numPr>
          <w:ilvl w:val="1"/>
          <w:numId w:val="19"/>
        </w:numPr>
        <w:autoSpaceDE w:val="0"/>
        <w:autoSpaceDN w:val="0"/>
        <w:adjustRightInd w:val="0"/>
        <w:spacing w:before="0"/>
        <w:rPr>
          <w:rFonts w:cs="Arial"/>
        </w:rPr>
      </w:pPr>
      <w:r>
        <w:rPr>
          <w:rFonts w:cs="Arial"/>
        </w:rPr>
        <w:t xml:space="preserve">The Department of Child Protection, as lead agency with responsibility for domestic violence, implement </w:t>
      </w:r>
      <w:r w:rsidRPr="007F11B3">
        <w:rPr>
          <w:rFonts w:cs="Arial"/>
        </w:rPr>
        <w:t>an independent</w:t>
      </w:r>
      <w:r w:rsidR="0060058F">
        <w:rPr>
          <w:rFonts w:cs="Arial"/>
        </w:rPr>
        <w:t xml:space="preserve"> and</w:t>
      </w:r>
      <w:r w:rsidRPr="007F11B3">
        <w:rPr>
          <w:rFonts w:cs="Arial"/>
        </w:rPr>
        <w:t xml:space="preserve"> </w:t>
      </w:r>
      <w:r>
        <w:rPr>
          <w:rFonts w:cs="Arial"/>
        </w:rPr>
        <w:t xml:space="preserve">comprehensive monitoring and evaluation program of the measures taken to implement the State’s obligations with respect to domestic </w:t>
      </w:r>
      <w:r w:rsidR="00A35510">
        <w:rPr>
          <w:rFonts w:cs="Arial"/>
        </w:rPr>
        <w:t>violence.</w:t>
      </w:r>
    </w:p>
    <w:p w:rsidR="00AC4913" w:rsidRPr="007F11B3" w:rsidRDefault="00AC4913" w:rsidP="006470B5">
      <w:pPr>
        <w:numPr>
          <w:ilvl w:val="1"/>
          <w:numId w:val="19"/>
        </w:numPr>
        <w:autoSpaceDE w:val="0"/>
        <w:autoSpaceDN w:val="0"/>
        <w:adjustRightInd w:val="0"/>
        <w:spacing w:before="0"/>
        <w:rPr>
          <w:rFonts w:cs="Arial"/>
        </w:rPr>
      </w:pPr>
      <w:r w:rsidRPr="007F11B3">
        <w:rPr>
          <w:rFonts w:cs="Arial"/>
        </w:rPr>
        <w:t xml:space="preserve">All State </w:t>
      </w:r>
      <w:r w:rsidR="00112BB2" w:rsidRPr="007F11B3">
        <w:rPr>
          <w:rFonts w:cs="Arial"/>
        </w:rPr>
        <w:t>Government</w:t>
      </w:r>
      <w:r w:rsidR="00EF5AA9">
        <w:rPr>
          <w:rFonts w:cs="Arial"/>
        </w:rPr>
        <w:t xml:space="preserve"> Departments who deal with v</w:t>
      </w:r>
      <w:r w:rsidRPr="007F11B3">
        <w:rPr>
          <w:rFonts w:cs="Arial"/>
        </w:rPr>
        <w:t xml:space="preserve">ictims and </w:t>
      </w:r>
      <w:r w:rsidR="00112BB2" w:rsidRPr="007F11B3">
        <w:rPr>
          <w:rFonts w:cs="Arial"/>
        </w:rPr>
        <w:t>perpetrators</w:t>
      </w:r>
      <w:r w:rsidR="00EF5AA9">
        <w:rPr>
          <w:rFonts w:cs="Arial"/>
        </w:rPr>
        <w:t xml:space="preserve"> of domestic v</w:t>
      </w:r>
      <w:r w:rsidRPr="007F11B3">
        <w:rPr>
          <w:rFonts w:cs="Arial"/>
        </w:rPr>
        <w:t>iolence involving Aboriginal or Torres Strait Islander Peoples implement a meaningful programme of</w:t>
      </w:r>
      <w:r w:rsidR="00F12902" w:rsidRPr="007F11B3">
        <w:rPr>
          <w:rFonts w:cs="Arial"/>
        </w:rPr>
        <w:t xml:space="preserve"> training </w:t>
      </w:r>
      <w:r w:rsidR="00463427" w:rsidRPr="007F11B3">
        <w:rPr>
          <w:rFonts w:cs="Arial"/>
        </w:rPr>
        <w:t xml:space="preserve">in </w:t>
      </w:r>
      <w:r w:rsidR="0060058F" w:rsidRPr="007F11B3">
        <w:rPr>
          <w:rFonts w:cs="Arial"/>
        </w:rPr>
        <w:t>cultural</w:t>
      </w:r>
      <w:r w:rsidR="00463427" w:rsidRPr="007F11B3">
        <w:rPr>
          <w:rFonts w:cs="Arial"/>
        </w:rPr>
        <w:t xml:space="preserve"> competence </w:t>
      </w:r>
      <w:r w:rsidR="00F12902" w:rsidRPr="007F11B3">
        <w:rPr>
          <w:rFonts w:cs="Arial"/>
        </w:rPr>
        <w:t xml:space="preserve">to enable them to provide their services to Aboriginal and Torres Strait Islander Peoples in a </w:t>
      </w:r>
      <w:r w:rsidR="00185E97" w:rsidRPr="007F11B3">
        <w:rPr>
          <w:rFonts w:cs="Arial"/>
        </w:rPr>
        <w:t xml:space="preserve">culturally </w:t>
      </w:r>
      <w:r w:rsidR="0060058F" w:rsidRPr="007F11B3">
        <w:rPr>
          <w:rFonts w:cs="Arial"/>
        </w:rPr>
        <w:t>appropriate</w:t>
      </w:r>
      <w:r w:rsidR="00185E97" w:rsidRPr="007F11B3">
        <w:rPr>
          <w:rFonts w:cs="Arial"/>
        </w:rPr>
        <w:t xml:space="preserve"> </w:t>
      </w:r>
      <w:r w:rsidR="00F12902" w:rsidRPr="007F11B3">
        <w:rPr>
          <w:rFonts w:cs="Arial"/>
        </w:rPr>
        <w:t xml:space="preserve">manner that ensures </w:t>
      </w:r>
      <w:r w:rsidR="00463427" w:rsidRPr="007F11B3">
        <w:rPr>
          <w:rFonts w:cs="Arial"/>
        </w:rPr>
        <w:t xml:space="preserve">they have </w:t>
      </w:r>
      <w:r w:rsidR="00F12902" w:rsidRPr="007F11B3">
        <w:rPr>
          <w:rFonts w:cs="Arial"/>
        </w:rPr>
        <w:t>eq</w:t>
      </w:r>
      <w:r w:rsidR="00112BB2" w:rsidRPr="007F11B3">
        <w:rPr>
          <w:rFonts w:cs="Arial"/>
        </w:rPr>
        <w:t>ual access to t</w:t>
      </w:r>
      <w:r w:rsidR="00463427" w:rsidRPr="007F11B3">
        <w:rPr>
          <w:rFonts w:cs="Arial"/>
        </w:rPr>
        <w:t>hose services</w:t>
      </w:r>
      <w:r w:rsidR="00112BB2" w:rsidRPr="007F11B3">
        <w:rPr>
          <w:rFonts w:cs="Arial"/>
        </w:rPr>
        <w:t>.</w:t>
      </w:r>
    </w:p>
    <w:p w:rsidR="00987552" w:rsidRDefault="00987552" w:rsidP="0060058F">
      <w:pPr>
        <w:pStyle w:val="Heading2"/>
        <w:rPr>
          <w:rFonts w:eastAsia="MS Mincho"/>
        </w:rPr>
      </w:pPr>
      <w:r w:rsidRPr="00507902">
        <w:rPr>
          <w:rFonts w:eastAsia="MS Mincho"/>
        </w:rPr>
        <w:t>Department of Corrective Services</w:t>
      </w:r>
    </w:p>
    <w:p w:rsidR="00FC4244" w:rsidRPr="00FC4244" w:rsidRDefault="00FC4244" w:rsidP="00FC4244">
      <w:pPr>
        <w:rPr>
          <w:rFonts w:eastAsia="MS Mincho"/>
        </w:rPr>
      </w:pPr>
      <w:r>
        <w:rPr>
          <w:rFonts w:eastAsia="MS Mincho"/>
        </w:rPr>
        <w:t>The Department of Corrective Services take the following actions:</w:t>
      </w:r>
    </w:p>
    <w:p w:rsidR="00987552" w:rsidRPr="00507902" w:rsidRDefault="00112BB2" w:rsidP="006470B5">
      <w:pPr>
        <w:numPr>
          <w:ilvl w:val="1"/>
          <w:numId w:val="21"/>
        </w:numPr>
        <w:autoSpaceDE w:val="0"/>
        <w:autoSpaceDN w:val="0"/>
        <w:adjustRightInd w:val="0"/>
        <w:spacing w:before="0"/>
        <w:rPr>
          <w:rFonts w:eastAsia="MS Mincho" w:cs="Arial"/>
        </w:rPr>
      </w:pPr>
      <w:r>
        <w:rPr>
          <w:rFonts w:eastAsia="MS Mincho" w:cs="Arial"/>
        </w:rPr>
        <w:t>Research</w:t>
      </w:r>
      <w:r w:rsidR="008352D3">
        <w:rPr>
          <w:rFonts w:eastAsia="MS Mincho" w:cs="Arial"/>
        </w:rPr>
        <w:t xml:space="preserve"> and asse</w:t>
      </w:r>
      <w:r w:rsidR="00EF5AA9">
        <w:rPr>
          <w:rFonts w:eastAsia="MS Mincho" w:cs="Arial"/>
        </w:rPr>
        <w:t>s</w:t>
      </w:r>
      <w:r w:rsidR="008352D3">
        <w:rPr>
          <w:rFonts w:eastAsia="MS Mincho" w:cs="Arial"/>
        </w:rPr>
        <w:t xml:space="preserve">s </w:t>
      </w:r>
      <w:r w:rsidR="00987552" w:rsidRPr="00507902">
        <w:rPr>
          <w:rFonts w:eastAsia="MS Mincho" w:cs="Arial"/>
        </w:rPr>
        <w:t>th</w:t>
      </w:r>
      <w:r w:rsidR="00FC4244">
        <w:rPr>
          <w:rFonts w:eastAsia="MS Mincho" w:cs="Arial"/>
        </w:rPr>
        <w:t xml:space="preserve">e efficacy and desirability of </w:t>
      </w:r>
      <w:r w:rsidR="00987552" w:rsidRPr="00507902">
        <w:rPr>
          <w:rFonts w:eastAsia="MS Mincho" w:cs="Arial"/>
        </w:rPr>
        <w:t xml:space="preserve">a system of GPS </w:t>
      </w:r>
      <w:r w:rsidR="00987552" w:rsidRPr="00361030">
        <w:rPr>
          <w:rFonts w:cs="Arial"/>
        </w:rPr>
        <w:t>monitoring</w:t>
      </w:r>
      <w:r w:rsidR="00FC4244">
        <w:rPr>
          <w:rFonts w:cs="Arial"/>
        </w:rPr>
        <w:t>,</w:t>
      </w:r>
      <w:r w:rsidR="00CB232A">
        <w:rPr>
          <w:rFonts w:eastAsia="MS Mincho" w:cs="Arial"/>
        </w:rPr>
        <w:t xml:space="preserve"> </w:t>
      </w:r>
      <w:r w:rsidR="00FC4244">
        <w:rPr>
          <w:rFonts w:eastAsia="MS Mincho" w:cs="Arial"/>
        </w:rPr>
        <w:t>in accordance with human rights,</w:t>
      </w:r>
      <w:r w:rsidR="00FC4244" w:rsidRPr="00507902">
        <w:rPr>
          <w:rFonts w:eastAsia="MS Mincho" w:cs="Arial"/>
        </w:rPr>
        <w:t xml:space="preserve"> </w:t>
      </w:r>
      <w:r w:rsidR="00987552" w:rsidRPr="00507902">
        <w:rPr>
          <w:rFonts w:eastAsia="MS Mincho" w:cs="Arial"/>
        </w:rPr>
        <w:t xml:space="preserve">of appropriately assessed </w:t>
      </w:r>
      <w:r w:rsidR="00551B45">
        <w:rPr>
          <w:rFonts w:eastAsia="MS Mincho" w:cs="Arial"/>
        </w:rPr>
        <w:t>p</w:t>
      </w:r>
      <w:r w:rsidR="00987552" w:rsidRPr="00507902">
        <w:rPr>
          <w:rFonts w:eastAsia="MS Mincho" w:cs="Arial"/>
        </w:rPr>
        <w:t>arolees who are perpetrators of domestic violence</w:t>
      </w:r>
      <w:r w:rsidR="004C5419">
        <w:rPr>
          <w:rFonts w:eastAsia="MS Mincho" w:cs="Arial"/>
        </w:rPr>
        <w:t xml:space="preserve"> and constitute an ongoing risk to the </w:t>
      </w:r>
      <w:r w:rsidR="00A97E83">
        <w:rPr>
          <w:rFonts w:eastAsia="MS Mincho" w:cs="Arial"/>
        </w:rPr>
        <w:t>victim</w:t>
      </w:r>
      <w:r w:rsidR="00987552" w:rsidRPr="00507902">
        <w:rPr>
          <w:rFonts w:eastAsia="MS Mincho" w:cs="Arial"/>
        </w:rPr>
        <w:t>. Such system should encompass the possibility of a warning system to the victim to enable her to take positive action to protect herself and her children.</w:t>
      </w:r>
    </w:p>
    <w:p w:rsidR="00987552" w:rsidRPr="00507902" w:rsidRDefault="008352D3" w:rsidP="006470B5">
      <w:pPr>
        <w:numPr>
          <w:ilvl w:val="1"/>
          <w:numId w:val="21"/>
        </w:numPr>
        <w:autoSpaceDE w:val="0"/>
        <w:autoSpaceDN w:val="0"/>
        <w:adjustRightInd w:val="0"/>
        <w:spacing w:before="0"/>
        <w:ind w:left="1434" w:hanging="357"/>
        <w:rPr>
          <w:rFonts w:eastAsia="MS Mincho" w:cs="Arial"/>
        </w:rPr>
      </w:pPr>
      <w:r w:rsidRPr="00507902">
        <w:rPr>
          <w:rFonts w:eastAsia="MS Mincho" w:cs="Arial"/>
        </w:rPr>
        <w:t xml:space="preserve">Review </w:t>
      </w:r>
      <w:r w:rsidR="00987552" w:rsidRPr="00507902">
        <w:rPr>
          <w:rFonts w:eastAsia="MS Mincho" w:cs="Arial"/>
        </w:rPr>
        <w:t xml:space="preserve">the system of risk assessment and determination of </w:t>
      </w:r>
      <w:r w:rsidR="004C5419">
        <w:rPr>
          <w:rFonts w:eastAsia="MS Mincho" w:cs="Arial"/>
        </w:rPr>
        <w:t xml:space="preserve">the </w:t>
      </w:r>
      <w:r w:rsidR="00987552" w:rsidRPr="00507902">
        <w:rPr>
          <w:rFonts w:eastAsia="MS Mincho" w:cs="Arial"/>
        </w:rPr>
        <w:t>supervision an</w:t>
      </w:r>
      <w:r>
        <w:rPr>
          <w:rFonts w:eastAsia="MS Mincho" w:cs="Arial"/>
        </w:rPr>
        <w:t>d</w:t>
      </w:r>
      <w:r w:rsidR="00987552" w:rsidRPr="00507902">
        <w:rPr>
          <w:rFonts w:eastAsia="MS Mincho" w:cs="Arial"/>
        </w:rPr>
        <w:t xml:space="preserve"> monitoring of </w:t>
      </w:r>
      <w:r w:rsidR="00551B45">
        <w:rPr>
          <w:rFonts w:eastAsia="MS Mincho" w:cs="Arial"/>
        </w:rPr>
        <w:t>p</w:t>
      </w:r>
      <w:r w:rsidR="00987552" w:rsidRPr="00507902">
        <w:rPr>
          <w:rFonts w:eastAsia="MS Mincho" w:cs="Arial"/>
        </w:rPr>
        <w:t>arolees. The review should specifically assess the appropriateness of the current forms and processes to adequately take into account:</w:t>
      </w:r>
    </w:p>
    <w:p w:rsidR="00987552" w:rsidRPr="00361030" w:rsidRDefault="00987552" w:rsidP="006470B5">
      <w:pPr>
        <w:numPr>
          <w:ilvl w:val="2"/>
          <w:numId w:val="21"/>
        </w:numPr>
        <w:autoSpaceDE w:val="0"/>
        <w:autoSpaceDN w:val="0"/>
        <w:adjustRightInd w:val="0"/>
        <w:spacing w:before="0"/>
        <w:rPr>
          <w:rFonts w:cs="Arial"/>
        </w:rPr>
      </w:pPr>
      <w:r w:rsidRPr="00361030">
        <w:rPr>
          <w:rFonts w:cs="Arial"/>
        </w:rPr>
        <w:t xml:space="preserve">all the personal circumstances of the parolee and the victim, </w:t>
      </w:r>
      <w:r w:rsidR="004C5419">
        <w:rPr>
          <w:rFonts w:cs="Arial"/>
        </w:rPr>
        <w:t xml:space="preserve">including </w:t>
      </w:r>
      <w:r w:rsidR="00A97E83">
        <w:rPr>
          <w:rFonts w:cs="Arial"/>
        </w:rPr>
        <w:t>whether</w:t>
      </w:r>
      <w:r w:rsidRPr="00361030">
        <w:rPr>
          <w:rFonts w:cs="Arial"/>
        </w:rPr>
        <w:t xml:space="preserve"> any children may be involved.</w:t>
      </w:r>
    </w:p>
    <w:p w:rsidR="00987552" w:rsidRPr="00361030" w:rsidRDefault="00987552" w:rsidP="006470B5">
      <w:pPr>
        <w:numPr>
          <w:ilvl w:val="2"/>
          <w:numId w:val="21"/>
        </w:numPr>
        <w:autoSpaceDE w:val="0"/>
        <w:autoSpaceDN w:val="0"/>
        <w:adjustRightInd w:val="0"/>
        <w:spacing w:before="0"/>
        <w:rPr>
          <w:rFonts w:cs="Arial"/>
        </w:rPr>
      </w:pPr>
      <w:r w:rsidRPr="00361030">
        <w:rPr>
          <w:rFonts w:cs="Arial"/>
        </w:rPr>
        <w:t>any factors arising from the geographical location of the parolee and his ability to access services</w:t>
      </w:r>
    </w:p>
    <w:p w:rsidR="00987552" w:rsidRPr="00507902" w:rsidRDefault="00987552" w:rsidP="006470B5">
      <w:pPr>
        <w:numPr>
          <w:ilvl w:val="1"/>
          <w:numId w:val="21"/>
        </w:numPr>
        <w:autoSpaceDE w:val="0"/>
        <w:autoSpaceDN w:val="0"/>
        <w:adjustRightInd w:val="0"/>
        <w:spacing w:before="0"/>
        <w:ind w:left="1434" w:hanging="357"/>
        <w:rPr>
          <w:rFonts w:eastAsia="MS Mincho" w:cs="Arial"/>
        </w:rPr>
      </w:pPr>
      <w:r w:rsidRPr="00507902">
        <w:rPr>
          <w:rFonts w:eastAsia="MS Mincho" w:cs="Arial"/>
        </w:rPr>
        <w:t xml:space="preserve">Steps be taken to ensure that necessary and appropriate delegations are made under s 97A of the </w:t>
      </w:r>
      <w:r w:rsidRPr="00507902">
        <w:rPr>
          <w:rFonts w:cs="Arial"/>
          <w:i/>
        </w:rPr>
        <w:t>Sentence Administration Act 2003</w:t>
      </w:r>
      <w:r w:rsidRPr="00507902">
        <w:rPr>
          <w:rFonts w:cs="Arial"/>
        </w:rPr>
        <w:t xml:space="preserve"> to </w:t>
      </w:r>
      <w:r w:rsidRPr="00507902">
        <w:rPr>
          <w:rFonts w:cs="Arial"/>
        </w:rPr>
        <w:lastRenderedPageBreak/>
        <w:t>enable the disclosure of personal information of the parolee in appropriate circumstances.</w:t>
      </w:r>
    </w:p>
    <w:p w:rsidR="00987552" w:rsidRPr="00507902" w:rsidRDefault="00987552" w:rsidP="006470B5">
      <w:pPr>
        <w:numPr>
          <w:ilvl w:val="1"/>
          <w:numId w:val="21"/>
        </w:numPr>
        <w:autoSpaceDE w:val="0"/>
        <w:autoSpaceDN w:val="0"/>
        <w:adjustRightInd w:val="0"/>
        <w:spacing w:before="0"/>
        <w:ind w:left="1434" w:hanging="357"/>
        <w:rPr>
          <w:rFonts w:eastAsia="MS Mincho" w:cs="Arial"/>
        </w:rPr>
      </w:pPr>
      <w:r w:rsidRPr="00507902">
        <w:rPr>
          <w:rFonts w:cs="Arial"/>
        </w:rPr>
        <w:t xml:space="preserve">Training be provided to staff of the Department of Corrective Services to enable them to appropriately assess when disclosure of personal information is </w:t>
      </w:r>
      <w:r w:rsidRPr="00361030">
        <w:rPr>
          <w:rFonts w:eastAsia="MS Mincho" w:cs="Arial"/>
        </w:rPr>
        <w:t>appropriate</w:t>
      </w:r>
      <w:r w:rsidRPr="00507902">
        <w:rPr>
          <w:rFonts w:cs="Arial"/>
        </w:rPr>
        <w:t xml:space="preserve"> and permissible</w:t>
      </w:r>
      <w:r w:rsidR="008C0235">
        <w:rPr>
          <w:rFonts w:cs="Arial"/>
        </w:rPr>
        <w:t>.</w:t>
      </w:r>
    </w:p>
    <w:p w:rsidR="00987552" w:rsidRPr="00507902" w:rsidRDefault="00987552" w:rsidP="006470B5">
      <w:pPr>
        <w:numPr>
          <w:ilvl w:val="1"/>
          <w:numId w:val="21"/>
        </w:numPr>
        <w:autoSpaceDE w:val="0"/>
        <w:autoSpaceDN w:val="0"/>
        <w:adjustRightInd w:val="0"/>
        <w:spacing w:before="0"/>
        <w:ind w:left="1434" w:hanging="357"/>
        <w:rPr>
          <w:rFonts w:eastAsia="MS Mincho" w:cs="Arial"/>
        </w:rPr>
      </w:pPr>
      <w:r w:rsidRPr="00507902">
        <w:rPr>
          <w:rFonts w:cs="Arial"/>
        </w:rPr>
        <w:t xml:space="preserve">Systems and practices be implemented to enable all relevant officers of the Department to have prompt access to relevant information regarding the parolee </w:t>
      </w:r>
      <w:r w:rsidRPr="00361030">
        <w:rPr>
          <w:rFonts w:eastAsia="MS Mincho" w:cs="Arial"/>
        </w:rPr>
        <w:t>including</w:t>
      </w:r>
      <w:r w:rsidRPr="00507902">
        <w:rPr>
          <w:rFonts w:cs="Arial"/>
        </w:rPr>
        <w:t xml:space="preserve"> sentencing remarks, victim impacts statement and any other relevant documents in appropriate circumstances</w:t>
      </w:r>
      <w:r w:rsidR="008C0235">
        <w:rPr>
          <w:rFonts w:cs="Arial"/>
        </w:rPr>
        <w:t>.</w:t>
      </w:r>
    </w:p>
    <w:p w:rsidR="00987552" w:rsidRDefault="00987552" w:rsidP="0060058F">
      <w:pPr>
        <w:pStyle w:val="Heading2"/>
        <w:rPr>
          <w:rFonts w:eastAsia="MS Mincho"/>
        </w:rPr>
      </w:pPr>
      <w:r w:rsidRPr="00507902">
        <w:rPr>
          <w:rFonts w:eastAsia="MS Mincho"/>
        </w:rPr>
        <w:t>Western Australian Police Service</w:t>
      </w:r>
    </w:p>
    <w:p w:rsidR="008352D3" w:rsidRPr="00FC4244" w:rsidRDefault="008352D3" w:rsidP="008352D3">
      <w:pPr>
        <w:rPr>
          <w:rFonts w:eastAsia="MS Mincho"/>
        </w:rPr>
      </w:pPr>
      <w:r>
        <w:rPr>
          <w:rFonts w:eastAsia="MS Mincho"/>
        </w:rPr>
        <w:t>The Western Australian Police Department take the following actions:</w:t>
      </w:r>
    </w:p>
    <w:p w:rsidR="00987552" w:rsidRDefault="008352D3" w:rsidP="006470B5">
      <w:pPr>
        <w:numPr>
          <w:ilvl w:val="1"/>
          <w:numId w:val="20"/>
        </w:numPr>
        <w:autoSpaceDE w:val="0"/>
        <w:autoSpaceDN w:val="0"/>
        <w:adjustRightInd w:val="0"/>
        <w:spacing w:before="0"/>
        <w:rPr>
          <w:rFonts w:eastAsia="MS Mincho" w:cs="Arial"/>
        </w:rPr>
      </w:pPr>
      <w:r>
        <w:rPr>
          <w:rFonts w:eastAsia="MS Mincho" w:cs="Arial"/>
        </w:rPr>
        <w:t>Identify a</w:t>
      </w:r>
      <w:r w:rsidR="00987552" w:rsidRPr="00507902">
        <w:rPr>
          <w:rFonts w:eastAsia="MS Mincho" w:cs="Arial"/>
        </w:rPr>
        <w:t xml:space="preserve">ny police officer who has not received </w:t>
      </w:r>
      <w:r w:rsidR="00E25E99">
        <w:rPr>
          <w:rFonts w:eastAsia="MS Mincho" w:cs="Arial"/>
        </w:rPr>
        <w:t xml:space="preserve">the currently </w:t>
      </w:r>
      <w:r w:rsidR="006470B5">
        <w:rPr>
          <w:rFonts w:eastAsia="MS Mincho" w:cs="Arial"/>
        </w:rPr>
        <w:t>available</w:t>
      </w:r>
      <w:r w:rsidR="00987552" w:rsidRPr="00507902">
        <w:rPr>
          <w:rFonts w:eastAsia="MS Mincho" w:cs="Arial"/>
        </w:rPr>
        <w:t xml:space="preserve"> training in relation to domestic violence and require</w:t>
      </w:r>
      <w:r>
        <w:rPr>
          <w:rFonts w:eastAsia="MS Mincho" w:cs="Arial"/>
        </w:rPr>
        <w:t xml:space="preserve"> them</w:t>
      </w:r>
      <w:r w:rsidR="00987552" w:rsidRPr="00507902">
        <w:rPr>
          <w:rFonts w:eastAsia="MS Mincho" w:cs="Arial"/>
        </w:rPr>
        <w:t xml:space="preserve"> to undertake appropriate training. Such training should include the Parole system and any relevant roles and responsibilities relating to Police. It should also include meaningful consideration of issues relating to domestic violence in Aboriginal families and circumstances and factors impacting on Aboriginal families experiencing domestic violence.</w:t>
      </w:r>
    </w:p>
    <w:p w:rsidR="00E25E99" w:rsidRPr="00507902" w:rsidRDefault="00E25E99" w:rsidP="006470B5">
      <w:pPr>
        <w:numPr>
          <w:ilvl w:val="1"/>
          <w:numId w:val="20"/>
        </w:numPr>
        <w:autoSpaceDE w:val="0"/>
        <w:autoSpaceDN w:val="0"/>
        <w:adjustRightInd w:val="0"/>
        <w:spacing w:before="0"/>
        <w:rPr>
          <w:rFonts w:eastAsia="MS Mincho" w:cs="Arial"/>
        </w:rPr>
      </w:pPr>
      <w:r>
        <w:rPr>
          <w:rFonts w:eastAsia="MS Mincho" w:cs="Arial"/>
        </w:rPr>
        <w:t xml:space="preserve">Implement a programme to ensure all relevant officers receive refresher training on domestic violence </w:t>
      </w:r>
      <w:r w:rsidR="007F11B3">
        <w:rPr>
          <w:rFonts w:eastAsia="MS Mincho" w:cs="Arial"/>
        </w:rPr>
        <w:t xml:space="preserve">at appropriate intervals </w:t>
      </w:r>
      <w:r w:rsidR="006470B5">
        <w:rPr>
          <w:rFonts w:eastAsia="MS Mincho" w:cs="Arial"/>
        </w:rPr>
        <w:t>and</w:t>
      </w:r>
      <w:r>
        <w:rPr>
          <w:rFonts w:eastAsia="MS Mincho" w:cs="Arial"/>
        </w:rPr>
        <w:t xml:space="preserve"> upon commencement in a relevant area of policing.</w:t>
      </w:r>
    </w:p>
    <w:p w:rsidR="00987552" w:rsidRDefault="007B57B3" w:rsidP="00987552">
      <w:pPr>
        <w:keepNext/>
        <w:keepLines/>
        <w:spacing w:after="480"/>
        <w:rPr>
          <w:rFonts w:cs="Arial"/>
        </w:rPr>
      </w:pPr>
      <w:r>
        <w:rPr>
          <w:rFonts w:cs="Arial"/>
        </w:rPr>
        <w:t>2</w:t>
      </w:r>
      <w:r w:rsidR="00710473">
        <w:rPr>
          <w:rFonts w:cs="Arial"/>
        </w:rPr>
        <w:t>5</w:t>
      </w:r>
      <w:r>
        <w:rPr>
          <w:rFonts w:cs="Arial"/>
        </w:rPr>
        <w:t xml:space="preserve"> </w:t>
      </w:r>
      <w:r w:rsidR="00987552" w:rsidRPr="00507902">
        <w:rPr>
          <w:rFonts w:cs="Arial"/>
        </w:rPr>
        <w:t>June 2012</w:t>
      </w:r>
    </w:p>
    <w:p w:rsidR="00D347A0" w:rsidRDefault="00D347A0" w:rsidP="00987552">
      <w:pPr>
        <w:keepNext/>
        <w:keepLines/>
        <w:spacing w:after="480"/>
        <w:rPr>
          <w:rFonts w:cs="Arial"/>
        </w:rPr>
      </w:pPr>
    </w:p>
    <w:p w:rsidR="00987552" w:rsidRPr="00507902" w:rsidRDefault="00987552" w:rsidP="00987552">
      <w:pPr>
        <w:keepNext/>
        <w:keepLines/>
        <w:spacing w:before="0" w:after="0"/>
        <w:rPr>
          <w:rFonts w:cs="Arial"/>
        </w:rPr>
      </w:pPr>
      <w:r w:rsidRPr="00507902">
        <w:rPr>
          <w:rFonts w:cs="Arial"/>
        </w:rPr>
        <w:t>Michelle Lindley</w:t>
      </w:r>
    </w:p>
    <w:p w:rsidR="00987552" w:rsidRPr="00507902" w:rsidRDefault="00987552" w:rsidP="00987552">
      <w:pPr>
        <w:keepNext/>
        <w:keepLines/>
        <w:spacing w:before="0" w:after="0"/>
        <w:rPr>
          <w:rFonts w:cs="Arial"/>
        </w:rPr>
      </w:pPr>
      <w:r w:rsidRPr="00507902">
        <w:rPr>
          <w:rFonts w:cs="Arial"/>
        </w:rPr>
        <w:t>Deputy Director - Legal</w:t>
      </w:r>
    </w:p>
    <w:p w:rsidR="0081256A" w:rsidRPr="00507902" w:rsidRDefault="00987552" w:rsidP="00987552">
      <w:pPr>
        <w:keepNext/>
        <w:keepLines/>
        <w:spacing w:before="0" w:after="0"/>
        <w:rPr>
          <w:rFonts w:cs="Arial"/>
        </w:rPr>
      </w:pPr>
      <w:r w:rsidRPr="00507902">
        <w:rPr>
          <w:rFonts w:cs="Arial"/>
        </w:rPr>
        <w:t>Australian Human Rights Commission</w:t>
      </w:r>
    </w:p>
    <w:sectPr w:rsidR="0081256A" w:rsidRPr="00507902" w:rsidSect="00CE7182">
      <w:footerReference w:type="default" r:id="rId9"/>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52E" w:rsidRDefault="0099452E" w:rsidP="00F14C6D">
      <w:r>
        <w:separator/>
      </w:r>
    </w:p>
  </w:endnote>
  <w:endnote w:type="continuationSeparator" w:id="0">
    <w:p w:rsidR="0099452E" w:rsidRDefault="0099452E"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52E" w:rsidRDefault="0099452E" w:rsidP="00CE7182">
    <w:pPr>
      <w:pStyle w:val="Footer"/>
      <w:spacing w:before="0"/>
    </w:pPr>
    <w:r w:rsidRPr="0090165F">
      <w:fldChar w:fldCharType="begin"/>
    </w:r>
    <w:r w:rsidRPr="0090165F">
      <w:instrText xml:space="preserve"> PAGE   \* MERGEFORMAT </w:instrText>
    </w:r>
    <w:r w:rsidRPr="0090165F">
      <w:fldChar w:fldCharType="separate"/>
    </w:r>
    <w:r w:rsidR="00532CF7">
      <w:rPr>
        <w:noProof/>
      </w:rPr>
      <w:t>15</w:t>
    </w:r>
    <w:r w:rsidRPr="0090165F">
      <w:fldChar w:fldCharType="end"/>
    </w:r>
  </w:p>
  <w:p w:rsidR="0099452E" w:rsidRDefault="009945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52E" w:rsidRDefault="0099452E" w:rsidP="00F14C6D">
      <w:r>
        <w:separator/>
      </w:r>
    </w:p>
  </w:footnote>
  <w:footnote w:type="continuationSeparator" w:id="0">
    <w:p w:rsidR="0099452E" w:rsidRDefault="0099452E" w:rsidP="00F14C6D">
      <w:r>
        <w:continuationSeparator/>
      </w:r>
    </w:p>
  </w:footnote>
  <w:footnote w:id="1">
    <w:p w:rsidR="0099452E" w:rsidRPr="0060058F" w:rsidRDefault="0099452E" w:rsidP="00ED14E6">
      <w:pPr>
        <w:pStyle w:val="FootnoteText"/>
        <w:keepLines/>
        <w:rPr>
          <w:rFonts w:cs="Arial"/>
        </w:rPr>
      </w:pPr>
      <w:r w:rsidRPr="0060058F">
        <w:rPr>
          <w:rStyle w:val="FootnoteReference"/>
          <w:rFonts w:cs="Arial"/>
        </w:rPr>
        <w:footnoteRef/>
      </w:r>
      <w:r w:rsidRPr="0060058F">
        <w:rPr>
          <w:rFonts w:cs="Arial"/>
        </w:rPr>
        <w:t xml:space="preserve"> </w:t>
      </w:r>
      <w:r w:rsidRPr="0060058F">
        <w:rPr>
          <w:rFonts w:cs="Arial"/>
          <w:i/>
        </w:rPr>
        <w:t xml:space="preserve">Kartinyeri v Commonwealth </w:t>
      </w:r>
      <w:r w:rsidRPr="0060058F">
        <w:rPr>
          <w:rFonts w:cs="Arial"/>
        </w:rPr>
        <w:t xml:space="preserve">(1998) 195 CLR 337, 384 (Gummow and Hayne JJ).; </w:t>
      </w:r>
      <w:r w:rsidRPr="0060058F">
        <w:rPr>
          <w:rFonts w:cs="Arial"/>
          <w:i/>
        </w:rPr>
        <w:t xml:space="preserve">Jumbunna Coal Mine N/L v Victorian Coalminers’ Association </w:t>
      </w:r>
      <w:r w:rsidRPr="0060058F">
        <w:rPr>
          <w:rFonts w:cs="Arial"/>
        </w:rPr>
        <w:t xml:space="preserve"> (1908) 6 CLR 309, 363 (O’Connor J). This principle applies to all statutes, not just those statutes that seek to implement Australia’s treaty obligations: </w:t>
      </w:r>
      <w:r w:rsidRPr="0060058F">
        <w:rPr>
          <w:rFonts w:cs="Arial"/>
          <w:i/>
        </w:rPr>
        <w:t xml:space="preserve">Minister for Immigration and Ethnic Affairs v Teoh </w:t>
      </w:r>
      <w:r w:rsidRPr="0060058F">
        <w:rPr>
          <w:rFonts w:cs="Arial"/>
        </w:rPr>
        <w:t>(1995) 183 CLR 273, 287 (Mason CJ and Deane J);</w:t>
      </w:r>
      <w:r w:rsidRPr="0060058F">
        <w:rPr>
          <w:rFonts w:cs="Arial"/>
          <w:i/>
        </w:rPr>
        <w:t xml:space="preserve">Chu Kheng Lim v Minister for Immigration, Local Government and Ethnic Affairs </w:t>
      </w:r>
      <w:r w:rsidRPr="0060058F">
        <w:rPr>
          <w:rFonts w:cs="Arial"/>
        </w:rPr>
        <w:t xml:space="preserve">(1992) 176 CLR 1, 38 Brennan, Deane and Dawson JJ;  Pearce and Geddes, </w:t>
      </w:r>
      <w:r w:rsidRPr="0060058F">
        <w:rPr>
          <w:rFonts w:cs="Arial"/>
          <w:i/>
        </w:rPr>
        <w:t>Statutory Interpretation in Australia</w:t>
      </w:r>
      <w:r w:rsidRPr="0060058F">
        <w:rPr>
          <w:rFonts w:cs="Arial"/>
        </w:rPr>
        <w:t xml:space="preserve"> (5</w:t>
      </w:r>
      <w:r w:rsidRPr="0060058F">
        <w:rPr>
          <w:rFonts w:cs="Arial"/>
          <w:vertAlign w:val="superscript"/>
        </w:rPr>
        <w:t>th</w:t>
      </w:r>
      <w:r w:rsidRPr="0060058F">
        <w:rPr>
          <w:rFonts w:cs="Arial"/>
        </w:rPr>
        <w:t xml:space="preserve"> ed, 2001), [5.14]. ‘Ambiguity’ in this context is to be construed broadly: </w:t>
      </w:r>
      <w:r w:rsidRPr="0060058F">
        <w:rPr>
          <w:rFonts w:cs="Arial"/>
          <w:i/>
        </w:rPr>
        <w:t xml:space="preserve">Minister for Immigration and Ethnic Affairs v Teoh </w:t>
      </w:r>
      <w:r w:rsidRPr="0060058F">
        <w:rPr>
          <w:rFonts w:cs="Arial"/>
        </w:rPr>
        <w:t xml:space="preserve">(1995) 183 CLR 273, 287 (Mason CJ and Deane J). See further Wendy Lacey, </w:t>
      </w:r>
      <w:r w:rsidRPr="0060058F">
        <w:rPr>
          <w:rFonts w:cs="Arial"/>
          <w:i/>
        </w:rPr>
        <w:t xml:space="preserve">Implementing Human Rights Norms: Judicial Discretion &amp; Use of Unincorporated Conventions </w:t>
      </w:r>
      <w:r w:rsidRPr="0060058F">
        <w:rPr>
          <w:rFonts w:cs="Arial"/>
        </w:rPr>
        <w:t>(2008), esp Chapters 4 and 5.</w:t>
      </w:r>
    </w:p>
  </w:footnote>
  <w:footnote w:id="2">
    <w:p w:rsidR="0099452E" w:rsidRPr="0060058F" w:rsidRDefault="0099452E" w:rsidP="00987552">
      <w:pPr>
        <w:pStyle w:val="FootnoteText"/>
        <w:rPr>
          <w:rFonts w:cs="Arial"/>
        </w:rPr>
      </w:pPr>
      <w:r w:rsidRPr="0060058F">
        <w:rPr>
          <w:rStyle w:val="FootnoteReference"/>
          <w:rFonts w:cs="Arial"/>
        </w:rPr>
        <w:footnoteRef/>
      </w:r>
      <w:r w:rsidRPr="0060058F">
        <w:rPr>
          <w:rFonts w:cs="Arial"/>
        </w:rPr>
        <w:t xml:space="preserve"> </w:t>
      </w:r>
      <w:r w:rsidRPr="0060058F">
        <w:rPr>
          <w:rFonts w:cs="Arial"/>
          <w:i/>
        </w:rPr>
        <w:t>Queensland v Mabo (No 2)</w:t>
      </w:r>
      <w:r w:rsidRPr="0060058F">
        <w:rPr>
          <w:rFonts w:cs="Arial"/>
        </w:rPr>
        <w:t xml:space="preserve"> (1991) 175 CLR 1, 42 (Brennan J).</w:t>
      </w:r>
    </w:p>
  </w:footnote>
  <w:footnote w:id="3">
    <w:p w:rsidR="0099452E" w:rsidRPr="0060058F" w:rsidRDefault="0099452E" w:rsidP="00987552">
      <w:pPr>
        <w:pStyle w:val="FootnoteText"/>
        <w:rPr>
          <w:rFonts w:cs="Arial"/>
        </w:rPr>
      </w:pPr>
      <w:r w:rsidRPr="0060058F">
        <w:rPr>
          <w:rStyle w:val="FootnoteReference"/>
          <w:rFonts w:cs="Arial"/>
        </w:rPr>
        <w:footnoteRef/>
      </w:r>
      <w:r w:rsidRPr="0060058F">
        <w:rPr>
          <w:rFonts w:cs="Arial"/>
        </w:rPr>
        <w:t xml:space="preserve"> </w:t>
      </w:r>
      <w:r w:rsidRPr="007157AD">
        <w:rPr>
          <w:rFonts w:cs="Arial"/>
        </w:rPr>
        <w:t xml:space="preserve">UN General Assembly, </w:t>
      </w:r>
      <w:r w:rsidRPr="007157AD">
        <w:rPr>
          <w:rFonts w:cs="Arial"/>
          <w:i/>
          <w:iCs/>
        </w:rPr>
        <w:t>Convention on the Elimination of All Forms of Discrimination Against Women</w:t>
      </w:r>
      <w:r w:rsidRPr="007157AD">
        <w:rPr>
          <w:rFonts w:cs="Arial"/>
        </w:rPr>
        <w:t xml:space="preserve">, </w:t>
      </w:r>
      <w:r>
        <w:rPr>
          <w:rFonts w:cs="Arial"/>
        </w:rPr>
        <w:t xml:space="preserve">opened for signature </w:t>
      </w:r>
      <w:r w:rsidRPr="007157AD">
        <w:rPr>
          <w:rFonts w:cs="Arial"/>
        </w:rPr>
        <w:t xml:space="preserve">18 December 1979, </w:t>
      </w:r>
      <w:r>
        <w:rPr>
          <w:rFonts w:cs="Arial"/>
        </w:rPr>
        <w:t xml:space="preserve">1249 </w:t>
      </w:r>
      <w:r w:rsidRPr="007157AD">
        <w:rPr>
          <w:rFonts w:cs="Arial"/>
        </w:rPr>
        <w:t xml:space="preserve">United Nations, </w:t>
      </w:r>
      <w:r w:rsidRPr="00C27B8A">
        <w:rPr>
          <w:rFonts w:cs="Arial"/>
          <w:i/>
        </w:rPr>
        <w:t>Treaty Series</w:t>
      </w:r>
      <w:r w:rsidRPr="007157AD">
        <w:rPr>
          <w:rFonts w:cs="Arial"/>
        </w:rPr>
        <w:t>, 13</w:t>
      </w:r>
      <w:r>
        <w:rPr>
          <w:rFonts w:cs="Arial"/>
        </w:rPr>
        <w:t xml:space="preserve"> (entered into force  3 September 1981)</w:t>
      </w:r>
      <w:r w:rsidRPr="007157AD">
        <w:rPr>
          <w:rFonts w:cs="Arial"/>
        </w:rPr>
        <w:t>, available at: http://www.unhcr.org/refworld/docid/3ae6b3970.html [accessed 22 June 2012]</w:t>
      </w:r>
      <w:r>
        <w:rPr>
          <w:rFonts w:cs="Arial"/>
        </w:rPr>
        <w:t xml:space="preserve">, </w:t>
      </w:r>
      <w:r w:rsidRPr="0060058F">
        <w:rPr>
          <w:rFonts w:cs="Arial"/>
        </w:rPr>
        <w:t>art 2(b) and (e).</w:t>
      </w:r>
    </w:p>
  </w:footnote>
  <w:footnote w:id="4">
    <w:p w:rsidR="0099452E" w:rsidRPr="0060058F" w:rsidRDefault="0099452E" w:rsidP="00987552">
      <w:pPr>
        <w:pStyle w:val="FootnoteText"/>
        <w:rPr>
          <w:rFonts w:cs="Arial"/>
        </w:rPr>
      </w:pPr>
      <w:r w:rsidRPr="0060058F">
        <w:rPr>
          <w:rStyle w:val="FootnoteReference"/>
          <w:rFonts w:cs="Arial"/>
        </w:rPr>
        <w:footnoteRef/>
      </w:r>
      <w:r w:rsidRPr="0060058F">
        <w:rPr>
          <w:rFonts w:cs="Arial"/>
        </w:rPr>
        <w:t xml:space="preserve"> </w:t>
      </w:r>
      <w:r w:rsidRPr="002043C5">
        <w:rPr>
          <w:rFonts w:cs="Arial"/>
        </w:rPr>
        <w:t xml:space="preserve">UN Committee on the Elimination of Discrimination Against Women (CEDAW), </w:t>
      </w:r>
      <w:r w:rsidRPr="002043C5">
        <w:rPr>
          <w:rFonts w:cs="Arial"/>
          <w:i/>
          <w:iCs/>
        </w:rPr>
        <w:t>CEDAW General Recommendations Nos. 19 and 20, adopted at the Eleventh Session, 1992 (contained in Document A/47/38)</w:t>
      </w:r>
      <w:r w:rsidRPr="002043C5">
        <w:rPr>
          <w:rFonts w:cs="Arial"/>
        </w:rPr>
        <w:t xml:space="preserve">, 1992, A/47/38, available at: http://www.unhcr.org/refworld/docid/453882a422.html [accessed 22 June 2012] </w:t>
      </w:r>
      <w:r w:rsidRPr="0060058F">
        <w:rPr>
          <w:rFonts w:cs="Arial"/>
        </w:rPr>
        <w:t>paras 24(r) (i) (iii) (iv).</w:t>
      </w:r>
    </w:p>
  </w:footnote>
  <w:footnote w:id="5">
    <w:p w:rsidR="0099452E" w:rsidRPr="0060058F" w:rsidRDefault="0099452E" w:rsidP="00987552">
      <w:pPr>
        <w:pStyle w:val="FootnoteText"/>
        <w:rPr>
          <w:rFonts w:cs="Arial"/>
        </w:rPr>
      </w:pPr>
      <w:r w:rsidRPr="0060058F">
        <w:rPr>
          <w:rStyle w:val="FootnoteReference"/>
          <w:rFonts w:cs="Arial"/>
        </w:rPr>
        <w:footnoteRef/>
      </w:r>
      <w:r>
        <w:rPr>
          <w:rFonts w:cs="Arial"/>
        </w:rPr>
        <w:t xml:space="preserve"> </w:t>
      </w:r>
      <w:r w:rsidRPr="002043C5">
        <w:rPr>
          <w:rFonts w:cs="Arial"/>
        </w:rPr>
        <w:t xml:space="preserve">UN General Assembly, </w:t>
      </w:r>
      <w:r w:rsidRPr="002043C5">
        <w:rPr>
          <w:rFonts w:cs="Arial"/>
          <w:i/>
          <w:iCs/>
        </w:rPr>
        <w:t>International Covenant on Civil and Political Rights</w:t>
      </w:r>
      <w:r w:rsidRPr="002043C5">
        <w:rPr>
          <w:rFonts w:cs="Arial"/>
        </w:rPr>
        <w:t>,</w:t>
      </w:r>
      <w:r>
        <w:rPr>
          <w:rFonts w:cs="Arial"/>
        </w:rPr>
        <w:t xml:space="preserve"> opened for signature</w:t>
      </w:r>
      <w:r w:rsidRPr="002043C5">
        <w:rPr>
          <w:rFonts w:cs="Arial"/>
        </w:rPr>
        <w:t xml:space="preserve"> 16 December 1966, </w:t>
      </w:r>
      <w:r>
        <w:rPr>
          <w:rFonts w:cs="Arial"/>
        </w:rPr>
        <w:t xml:space="preserve">999 </w:t>
      </w:r>
      <w:r w:rsidRPr="002043C5">
        <w:rPr>
          <w:rFonts w:cs="Arial"/>
        </w:rPr>
        <w:t xml:space="preserve">United Nations, </w:t>
      </w:r>
      <w:r w:rsidRPr="00C27B8A">
        <w:rPr>
          <w:rFonts w:cs="Arial"/>
          <w:i/>
        </w:rPr>
        <w:t>Treaty Series</w:t>
      </w:r>
      <w:r w:rsidRPr="002043C5">
        <w:rPr>
          <w:rFonts w:cs="Arial"/>
        </w:rPr>
        <w:t xml:space="preserve"> 171</w:t>
      </w:r>
      <w:r>
        <w:rPr>
          <w:rFonts w:cs="Arial"/>
        </w:rPr>
        <w:t xml:space="preserve"> (23 March 1976 except Article 41 which came into force 28 March 1979)</w:t>
      </w:r>
      <w:r w:rsidRPr="002043C5">
        <w:rPr>
          <w:rFonts w:cs="Arial"/>
        </w:rPr>
        <w:t>, available at: http://www.unhcr.org/refworld/docid/3ae6b3aa0.html [accessed 22 June 2012].</w:t>
      </w:r>
      <w:r>
        <w:rPr>
          <w:rFonts w:ascii="Trebuchet MS" w:hAnsi="Trebuchet MS" w:cs="Arial"/>
          <w:sz w:val="22"/>
          <w:szCs w:val="22"/>
        </w:rPr>
        <w:t xml:space="preserve"> </w:t>
      </w:r>
      <w:r>
        <w:rPr>
          <w:rFonts w:cs="Arial"/>
        </w:rPr>
        <w:t>Article 6.</w:t>
      </w:r>
      <w:r w:rsidRPr="00BC5E09">
        <w:rPr>
          <w:rStyle w:val="FootnoteReference"/>
          <w:rFonts w:cs="Arial"/>
        </w:rPr>
        <w:t xml:space="preserve"> </w:t>
      </w:r>
      <w:r>
        <w:rPr>
          <w:rFonts w:cs="Arial"/>
        </w:rPr>
        <w:t xml:space="preserve">See also </w:t>
      </w:r>
      <w:r w:rsidRPr="004F36E1">
        <w:rPr>
          <w:rFonts w:cs="Arial"/>
        </w:rPr>
        <w:t xml:space="preserve">CEDAW Committee, </w:t>
      </w:r>
      <w:r w:rsidRPr="004F36E1">
        <w:rPr>
          <w:rFonts w:cs="Arial"/>
          <w:i/>
        </w:rPr>
        <w:t>Views: Communication No 2/2003</w:t>
      </w:r>
      <w:r w:rsidRPr="004F36E1">
        <w:rPr>
          <w:rFonts w:cs="Arial"/>
        </w:rPr>
        <w:t>, 32</w:t>
      </w:r>
      <w:r w:rsidRPr="004F36E1">
        <w:rPr>
          <w:rFonts w:cs="Arial"/>
          <w:vertAlign w:val="superscript"/>
        </w:rPr>
        <w:t>nd</w:t>
      </w:r>
      <w:r w:rsidRPr="004F36E1">
        <w:rPr>
          <w:rFonts w:cs="Arial"/>
        </w:rPr>
        <w:t xml:space="preserve"> sess, UN Doc. CEDAW/C/32/D/2/2003 (26 January 2005) (‘</w:t>
      </w:r>
      <w:r w:rsidRPr="004F36E1">
        <w:rPr>
          <w:rFonts w:cs="Arial"/>
          <w:i/>
        </w:rPr>
        <w:t>A.T. v Hungary</w:t>
      </w:r>
      <w:r w:rsidRPr="004F36E1">
        <w:rPr>
          <w:rFonts w:cs="Arial"/>
        </w:rPr>
        <w:t xml:space="preserve">’); CEDAW Committee, </w:t>
      </w:r>
      <w:r w:rsidRPr="004F36E1">
        <w:rPr>
          <w:rFonts w:cs="Arial"/>
          <w:i/>
        </w:rPr>
        <w:t>Views: Communication No 6/2005</w:t>
      </w:r>
      <w:r w:rsidRPr="004F36E1">
        <w:rPr>
          <w:rFonts w:cs="Arial"/>
        </w:rPr>
        <w:t>, 39</w:t>
      </w:r>
      <w:r w:rsidRPr="004F36E1">
        <w:rPr>
          <w:rFonts w:cs="Arial"/>
          <w:vertAlign w:val="superscript"/>
        </w:rPr>
        <w:t>th</w:t>
      </w:r>
      <w:r w:rsidRPr="004F36E1">
        <w:rPr>
          <w:rFonts w:cs="Arial"/>
        </w:rPr>
        <w:t xml:space="preserve"> sess, UN Doc CEDAW/C/39/D/6/2005 (1 October 2007) (‘</w:t>
      </w:r>
      <w:r w:rsidRPr="004F36E1">
        <w:rPr>
          <w:rFonts w:cs="Arial"/>
          <w:i/>
        </w:rPr>
        <w:t>Fatma Yildirim v Austria</w:t>
      </w:r>
      <w:r w:rsidRPr="004F36E1">
        <w:rPr>
          <w:rFonts w:cs="Arial"/>
        </w:rPr>
        <w:t xml:space="preserve">’); CEDAW Committee, </w:t>
      </w:r>
      <w:r w:rsidRPr="004F36E1">
        <w:rPr>
          <w:rFonts w:cs="Arial"/>
          <w:i/>
        </w:rPr>
        <w:t>Views: Communication No 5/2005</w:t>
      </w:r>
      <w:r w:rsidRPr="004F36E1">
        <w:rPr>
          <w:rFonts w:cs="Arial"/>
        </w:rPr>
        <w:t>, 39</w:t>
      </w:r>
      <w:r w:rsidRPr="004F36E1">
        <w:rPr>
          <w:rFonts w:cs="Arial"/>
          <w:vertAlign w:val="superscript"/>
        </w:rPr>
        <w:t>th</w:t>
      </w:r>
      <w:r w:rsidRPr="004F36E1">
        <w:rPr>
          <w:rFonts w:cs="Arial"/>
        </w:rPr>
        <w:t xml:space="preserve"> sess, UN Doc CEDAW/C/39/D/5/2005 (6 August 2007) (‘</w:t>
      </w:r>
      <w:r w:rsidRPr="004F36E1">
        <w:rPr>
          <w:rFonts w:cs="Arial"/>
          <w:i/>
        </w:rPr>
        <w:t>Şahide Goekce v Austria</w:t>
      </w:r>
      <w:r w:rsidRPr="004F36E1">
        <w:rPr>
          <w:rFonts w:cs="Arial"/>
        </w:rPr>
        <w:t xml:space="preserve">’). </w:t>
      </w:r>
    </w:p>
  </w:footnote>
  <w:footnote w:id="6">
    <w:p w:rsidR="0099452E" w:rsidRPr="0060058F" w:rsidRDefault="0099452E" w:rsidP="00987552">
      <w:pPr>
        <w:pStyle w:val="FootnoteText"/>
        <w:rPr>
          <w:rFonts w:cs="Arial"/>
        </w:rPr>
      </w:pPr>
      <w:r w:rsidRPr="004F36E1">
        <w:rPr>
          <w:rStyle w:val="FootnoteReference"/>
          <w:rFonts w:cs="Arial"/>
        </w:rPr>
        <w:footnoteRef/>
      </w:r>
      <w:r w:rsidRPr="004F36E1">
        <w:rPr>
          <w:rFonts w:cs="Arial"/>
        </w:rPr>
        <w:t xml:space="preserve"> </w:t>
      </w:r>
      <w:r>
        <w:rPr>
          <w:rFonts w:cs="Arial"/>
        </w:rPr>
        <w:t xml:space="preserve">European Court of Human Rights, </w:t>
      </w:r>
      <w:r w:rsidRPr="004F36E1">
        <w:rPr>
          <w:rFonts w:cs="Arial"/>
          <w:i/>
        </w:rPr>
        <w:t>Opuz v Turkey</w:t>
      </w:r>
      <w:r w:rsidRPr="004F36E1">
        <w:rPr>
          <w:rFonts w:cs="Arial"/>
        </w:rPr>
        <w:t xml:space="preserve"> [2009] ECHR 33401/02</w:t>
      </w:r>
      <w:r>
        <w:rPr>
          <w:rFonts w:cs="Arial"/>
        </w:rPr>
        <w:t xml:space="preserve"> </w:t>
      </w:r>
      <w:r w:rsidRPr="00D94FEE">
        <w:rPr>
          <w:rFonts w:cs="Arial"/>
        </w:rPr>
        <w:t>(</w:t>
      </w:r>
      <w:r w:rsidRPr="0060058F">
        <w:rPr>
          <w:rFonts w:cs="Arial"/>
        </w:rPr>
        <w:t>Application No 33401/02, 9 June 2009</w:t>
      </w:r>
      <w:r>
        <w:rPr>
          <w:rFonts w:cs="Arial"/>
        </w:rPr>
        <w:t>)</w:t>
      </w:r>
      <w:r w:rsidRPr="004F36E1">
        <w:rPr>
          <w:rFonts w:cs="Arial"/>
        </w:rPr>
        <w:t xml:space="preserve">; </w:t>
      </w:r>
      <w:r w:rsidRPr="0060058F">
        <w:rPr>
          <w:rFonts w:cs="Arial"/>
          <w:i/>
        </w:rPr>
        <w:t>Jessica Lenahan (Gonzales) et al v United States</w:t>
      </w:r>
      <w:r w:rsidRPr="0060058F">
        <w:rPr>
          <w:rFonts w:cs="Arial"/>
        </w:rPr>
        <w:t xml:space="preserve"> (Inter-American Commission on Human Rights, Report No 80/11, Case 12.626, 21 July 2011)</w:t>
      </w:r>
      <w:r w:rsidRPr="004F36E1">
        <w:rPr>
          <w:rFonts w:cs="Arial"/>
        </w:rPr>
        <w:t>.</w:t>
      </w:r>
    </w:p>
  </w:footnote>
  <w:footnote w:id="7">
    <w:p w:rsidR="0099452E" w:rsidRPr="0060058F" w:rsidRDefault="0099452E" w:rsidP="00507902">
      <w:pPr>
        <w:spacing w:before="0" w:after="0"/>
        <w:rPr>
          <w:rFonts w:cs="Arial"/>
          <w:sz w:val="20"/>
        </w:rPr>
      </w:pPr>
      <w:r w:rsidRPr="0060058F">
        <w:rPr>
          <w:rStyle w:val="FootnoteReference"/>
          <w:rFonts w:cs="Arial"/>
        </w:rPr>
        <w:footnoteRef/>
      </w:r>
      <w:r w:rsidRPr="0060058F">
        <w:rPr>
          <w:rFonts w:cs="Arial"/>
          <w:sz w:val="20"/>
        </w:rPr>
        <w:t xml:space="preserve"> UN Economic and Social Council, </w:t>
      </w:r>
      <w:r w:rsidRPr="0060058F">
        <w:rPr>
          <w:rFonts w:cs="Arial"/>
          <w:i/>
          <w:sz w:val="20"/>
        </w:rPr>
        <w:t>Integration Of The Human Rights Of Women And The Gender Perspective: Violence Against Women – The Due Diligence Standard As A Tool For The Elimination Of Violone Against Women – Report Of The Special Rapporteur On Violence Against Women.</w:t>
      </w:r>
      <w:r w:rsidRPr="0060058F">
        <w:rPr>
          <w:rFonts w:cs="Arial"/>
          <w:sz w:val="20"/>
        </w:rPr>
        <w:t xml:space="preserve"> </w:t>
      </w:r>
      <w:r>
        <w:rPr>
          <w:rFonts w:cs="Arial"/>
          <w:sz w:val="20"/>
        </w:rPr>
        <w:t>[</w:t>
      </w:r>
      <w:r w:rsidRPr="0060058F">
        <w:rPr>
          <w:rFonts w:cs="Arial"/>
          <w:sz w:val="20"/>
        </w:rPr>
        <w:t>29</w:t>
      </w:r>
      <w:r>
        <w:rPr>
          <w:rFonts w:cs="Arial"/>
          <w:sz w:val="20"/>
        </w:rPr>
        <w:t>].</w:t>
      </w:r>
    </w:p>
  </w:footnote>
  <w:footnote w:id="8">
    <w:p w:rsidR="0099452E" w:rsidRPr="0060058F" w:rsidRDefault="0099452E" w:rsidP="00987552">
      <w:pPr>
        <w:pStyle w:val="FootnoteText"/>
        <w:rPr>
          <w:rFonts w:cs="Arial"/>
        </w:rPr>
      </w:pPr>
      <w:r w:rsidRPr="0060058F">
        <w:rPr>
          <w:rStyle w:val="FootnoteReference"/>
          <w:rFonts w:cs="Arial"/>
        </w:rPr>
        <w:footnoteRef/>
      </w:r>
      <w:r w:rsidRPr="0060058F">
        <w:rPr>
          <w:rFonts w:cs="Arial"/>
        </w:rPr>
        <w:t xml:space="preserve"> </w:t>
      </w:r>
      <w:r w:rsidRPr="0060058F">
        <w:rPr>
          <w:rFonts w:cs="Arial"/>
          <w:i/>
        </w:rPr>
        <w:t>Convention on the Rights of the Child</w:t>
      </w:r>
      <w:r w:rsidRPr="0060058F">
        <w:rPr>
          <w:rFonts w:cs="Arial"/>
        </w:rPr>
        <w:t xml:space="preserve"> opened for signature 20 November 1989, 1577 United Nations, Treaty Series 3 (entered into force 2 September 1990).</w:t>
      </w:r>
      <w:r>
        <w:rPr>
          <w:rFonts w:cs="Arial"/>
        </w:rPr>
        <w:t xml:space="preserve"> Article 3.</w:t>
      </w:r>
    </w:p>
  </w:footnote>
  <w:footnote w:id="9">
    <w:p w:rsidR="0099452E" w:rsidRDefault="0099452E">
      <w:pPr>
        <w:pStyle w:val="FootnoteText"/>
      </w:pPr>
      <w:r>
        <w:rPr>
          <w:rStyle w:val="FootnoteReference"/>
        </w:rPr>
        <w:footnoteRef/>
      </w:r>
      <w:r>
        <w:t xml:space="preserve"> Ibid Article 19.</w:t>
      </w:r>
    </w:p>
  </w:footnote>
  <w:footnote w:id="10">
    <w:p w:rsidR="0099452E" w:rsidRPr="00BE220F" w:rsidRDefault="0099452E">
      <w:pPr>
        <w:pStyle w:val="FootnoteText"/>
        <w:rPr>
          <w:rFonts w:cs="Arial"/>
        </w:rPr>
      </w:pPr>
      <w:r>
        <w:rPr>
          <w:rStyle w:val="FootnoteReference"/>
        </w:rPr>
        <w:footnoteRef/>
      </w:r>
      <w:r w:rsidRPr="00BE220F">
        <w:rPr>
          <w:rFonts w:cs="Arial"/>
        </w:rPr>
        <w:t xml:space="preserve"> </w:t>
      </w:r>
      <w:r w:rsidRPr="007157AD">
        <w:rPr>
          <w:rFonts w:cs="Arial"/>
        </w:rPr>
        <w:t xml:space="preserve">UN General Assembly, </w:t>
      </w:r>
      <w:r w:rsidRPr="007157AD">
        <w:rPr>
          <w:rFonts w:cs="Arial"/>
          <w:i/>
          <w:iCs/>
        </w:rPr>
        <w:t>Convention on the Elimination of All Forms of Discrimination Against Women</w:t>
      </w:r>
      <w:r w:rsidRPr="007157AD">
        <w:rPr>
          <w:rFonts w:cs="Arial"/>
        </w:rPr>
        <w:t xml:space="preserve">, </w:t>
      </w:r>
      <w:r>
        <w:rPr>
          <w:rFonts w:cs="Arial"/>
        </w:rPr>
        <w:t xml:space="preserve">opened for signature </w:t>
      </w:r>
      <w:r w:rsidRPr="007157AD">
        <w:rPr>
          <w:rFonts w:cs="Arial"/>
        </w:rPr>
        <w:t xml:space="preserve">18 December 1979, </w:t>
      </w:r>
      <w:r>
        <w:rPr>
          <w:rFonts w:cs="Arial"/>
        </w:rPr>
        <w:t xml:space="preserve">1249 </w:t>
      </w:r>
      <w:r w:rsidRPr="007157AD">
        <w:rPr>
          <w:rFonts w:cs="Arial"/>
        </w:rPr>
        <w:t xml:space="preserve">United Nations, </w:t>
      </w:r>
      <w:r w:rsidRPr="00D94FEE">
        <w:rPr>
          <w:rFonts w:cs="Arial"/>
          <w:i/>
        </w:rPr>
        <w:t>Treaty Series</w:t>
      </w:r>
      <w:r w:rsidRPr="007157AD">
        <w:rPr>
          <w:rFonts w:cs="Arial"/>
        </w:rPr>
        <w:t>, 13</w:t>
      </w:r>
      <w:r>
        <w:rPr>
          <w:rFonts w:cs="Arial"/>
        </w:rPr>
        <w:t xml:space="preserve"> (entered into force  3 September 1981)</w:t>
      </w:r>
      <w:r w:rsidRPr="007157AD">
        <w:rPr>
          <w:rFonts w:cs="Arial"/>
        </w:rPr>
        <w:t>, available at: http://www.unhcr.org/refworld/docid/3ae6b3970.html [accessed 22 June 2012]</w:t>
      </w:r>
      <w:r>
        <w:rPr>
          <w:rFonts w:cs="Arial"/>
        </w:rPr>
        <w:t xml:space="preserve">, </w:t>
      </w:r>
      <w:r w:rsidRPr="0060058F">
        <w:rPr>
          <w:rFonts w:cs="Arial"/>
        </w:rPr>
        <w:t>art 2(b) and (e).</w:t>
      </w:r>
    </w:p>
  </w:footnote>
  <w:footnote w:id="11">
    <w:p w:rsidR="0099452E" w:rsidRPr="0060058F" w:rsidRDefault="0099452E" w:rsidP="00987552">
      <w:pPr>
        <w:pStyle w:val="FootnoteText"/>
        <w:rPr>
          <w:rFonts w:cs="Arial"/>
        </w:rPr>
      </w:pPr>
      <w:r w:rsidRPr="0060058F">
        <w:rPr>
          <w:rStyle w:val="FootnoteReference"/>
          <w:rFonts w:cs="Arial"/>
        </w:rPr>
        <w:footnoteRef/>
      </w:r>
      <w:r w:rsidRPr="0060058F">
        <w:rPr>
          <w:rFonts w:cs="Arial"/>
        </w:rPr>
        <w:t xml:space="preserve"> Australia Bureau of Statistics ABS, </w:t>
      </w:r>
      <w:r w:rsidRPr="0060058F">
        <w:rPr>
          <w:rFonts w:cs="Arial"/>
          <w:i/>
        </w:rPr>
        <w:t>Personal Safety Survey</w:t>
      </w:r>
      <w:r w:rsidRPr="0060058F">
        <w:rPr>
          <w:rFonts w:cs="Arial"/>
        </w:rPr>
        <w:t xml:space="preserve"> (2005), p 7.</w:t>
      </w:r>
    </w:p>
  </w:footnote>
  <w:footnote w:id="12">
    <w:p w:rsidR="0099452E" w:rsidRPr="0060058F" w:rsidRDefault="0099452E" w:rsidP="00987552">
      <w:pPr>
        <w:pStyle w:val="FootnoteText"/>
        <w:rPr>
          <w:rFonts w:cs="Arial"/>
        </w:rPr>
      </w:pPr>
      <w:r w:rsidRPr="0060058F">
        <w:rPr>
          <w:rStyle w:val="FootnoteReference"/>
          <w:rFonts w:cs="Arial"/>
        </w:rPr>
        <w:footnoteRef/>
      </w:r>
      <w:r>
        <w:rPr>
          <w:rFonts w:cs="Arial"/>
        </w:rPr>
        <w:t xml:space="preserve"> Ibid.</w:t>
      </w:r>
    </w:p>
  </w:footnote>
  <w:footnote w:id="13">
    <w:p w:rsidR="0099452E" w:rsidRPr="0060058F" w:rsidRDefault="0099452E" w:rsidP="00987552">
      <w:pPr>
        <w:pStyle w:val="FootnoteText"/>
        <w:rPr>
          <w:rFonts w:cs="Arial"/>
        </w:rPr>
      </w:pPr>
      <w:r w:rsidRPr="0060058F">
        <w:rPr>
          <w:rStyle w:val="FootnoteReference"/>
          <w:rFonts w:cs="Arial"/>
        </w:rPr>
        <w:footnoteRef/>
      </w:r>
      <w:r w:rsidRPr="0060058F">
        <w:rPr>
          <w:rFonts w:cs="Arial"/>
        </w:rPr>
        <w:t xml:space="preserve"> J</w:t>
      </w:r>
      <w:r>
        <w:rPr>
          <w:rFonts w:cs="Arial"/>
        </w:rPr>
        <w:t xml:space="preserve"> Mouzos</w:t>
      </w:r>
      <w:r w:rsidRPr="0060058F">
        <w:rPr>
          <w:rFonts w:cs="Arial"/>
        </w:rPr>
        <w:t xml:space="preserve"> and C Rushforth</w:t>
      </w:r>
      <w:r>
        <w:rPr>
          <w:rFonts w:cs="Arial"/>
        </w:rPr>
        <w:t>,</w:t>
      </w:r>
      <w:r w:rsidRPr="0060058F">
        <w:rPr>
          <w:rFonts w:cs="Arial"/>
        </w:rPr>
        <w:t xml:space="preserve"> </w:t>
      </w:r>
      <w:r w:rsidRPr="0060058F">
        <w:rPr>
          <w:rFonts w:cs="Arial"/>
          <w:i/>
        </w:rPr>
        <w:t>Family Homicide in Australia</w:t>
      </w:r>
      <w:r w:rsidRPr="0060058F">
        <w:rPr>
          <w:rFonts w:cs="Arial"/>
        </w:rPr>
        <w:t>,</w:t>
      </w:r>
      <w:r>
        <w:rPr>
          <w:rFonts w:cs="Arial"/>
        </w:rPr>
        <w:t xml:space="preserve"> </w:t>
      </w:r>
      <w:r w:rsidRPr="0060058F">
        <w:rPr>
          <w:rFonts w:cs="Arial"/>
        </w:rPr>
        <w:t>(2003)</w:t>
      </w:r>
      <w:r>
        <w:rPr>
          <w:rFonts w:cs="Arial"/>
        </w:rPr>
        <w:t>,</w:t>
      </w:r>
      <w:r w:rsidRPr="0060058F">
        <w:rPr>
          <w:rFonts w:cs="Arial"/>
        </w:rPr>
        <w:t xml:space="preserve"> , Australian Institute of Criminology</w:t>
      </w:r>
      <w:r>
        <w:rPr>
          <w:rFonts w:cs="Arial"/>
        </w:rPr>
        <w:t xml:space="preserve">, </w:t>
      </w:r>
      <w:r w:rsidRPr="0060058F">
        <w:rPr>
          <w:rFonts w:cs="Arial"/>
        </w:rPr>
        <w:t>p 2.</w:t>
      </w:r>
    </w:p>
  </w:footnote>
  <w:footnote w:id="14">
    <w:p w:rsidR="0099452E" w:rsidRPr="0060058F" w:rsidRDefault="0099452E" w:rsidP="00987552">
      <w:pPr>
        <w:pStyle w:val="FootnoteText"/>
        <w:rPr>
          <w:rFonts w:cs="Arial"/>
        </w:rPr>
      </w:pPr>
      <w:r w:rsidRPr="0060058F">
        <w:rPr>
          <w:rStyle w:val="FootnoteReference"/>
          <w:rFonts w:cs="Arial"/>
        </w:rPr>
        <w:footnoteRef/>
      </w:r>
      <w:r w:rsidRPr="0060058F">
        <w:rPr>
          <w:rFonts w:cs="Arial"/>
        </w:rPr>
        <w:t xml:space="preserve"> J Dearden &amp; W Jones, </w:t>
      </w:r>
      <w:r w:rsidRPr="0060058F">
        <w:rPr>
          <w:rFonts w:cs="Arial"/>
          <w:i/>
        </w:rPr>
        <w:t>Homicide in Australia: 2006 - 06 National Homicide Monitoring Program Annual Report</w:t>
      </w:r>
      <w:r>
        <w:rPr>
          <w:rFonts w:cs="Arial"/>
        </w:rPr>
        <w:t xml:space="preserve"> (2008)</w:t>
      </w:r>
      <w:r w:rsidRPr="0060058F">
        <w:rPr>
          <w:rFonts w:cs="Arial"/>
        </w:rPr>
        <w:t>, Australian Institute of Criminology  p 2.</w:t>
      </w:r>
    </w:p>
  </w:footnote>
  <w:footnote w:id="15">
    <w:p w:rsidR="0099452E" w:rsidRPr="0060058F" w:rsidRDefault="0099452E" w:rsidP="00987552">
      <w:pPr>
        <w:pStyle w:val="FootnoteText"/>
        <w:rPr>
          <w:rFonts w:cs="Arial"/>
        </w:rPr>
      </w:pPr>
      <w:r w:rsidRPr="0060058F">
        <w:rPr>
          <w:rStyle w:val="FootnoteReference"/>
          <w:rFonts w:cs="Arial"/>
        </w:rPr>
        <w:footnoteRef/>
      </w:r>
      <w:r w:rsidRPr="0060058F">
        <w:rPr>
          <w:rFonts w:cs="Arial"/>
        </w:rPr>
        <w:t xml:space="preserve"> VicHealth (2004), </w:t>
      </w:r>
      <w:r w:rsidRPr="0060058F">
        <w:rPr>
          <w:rFonts w:cs="Arial"/>
          <w:i/>
        </w:rPr>
        <w:t>The health costs of violence: Measuring the burden of disease caused by intimate partner violence</w:t>
      </w:r>
      <w:r w:rsidRPr="0060058F">
        <w:rPr>
          <w:rFonts w:cs="Arial"/>
        </w:rPr>
        <w:t>, p 8.</w:t>
      </w:r>
    </w:p>
  </w:footnote>
  <w:footnote w:id="16">
    <w:p w:rsidR="0099452E" w:rsidRPr="0060058F" w:rsidRDefault="0099452E" w:rsidP="00987552">
      <w:pPr>
        <w:pStyle w:val="FootnoteText"/>
        <w:rPr>
          <w:rFonts w:cs="Arial"/>
        </w:rPr>
      </w:pPr>
      <w:r w:rsidRPr="0060058F">
        <w:rPr>
          <w:rStyle w:val="FootnoteReference"/>
          <w:rFonts w:cs="Arial"/>
        </w:rPr>
        <w:footnoteRef/>
      </w:r>
      <w:r w:rsidRPr="0060058F">
        <w:rPr>
          <w:rFonts w:cs="Arial"/>
        </w:rPr>
        <w:t xml:space="preserve"> J Dearden &amp; W Jones, Homicide in Australia: 2006 - 06 National Homicide Monitoring Program Annual Report, Australian Institute of Criminology (2008), p 2.</w:t>
      </w:r>
    </w:p>
  </w:footnote>
  <w:footnote w:id="17">
    <w:p w:rsidR="0099452E" w:rsidRPr="0060058F" w:rsidRDefault="0099452E" w:rsidP="00987552">
      <w:pPr>
        <w:pStyle w:val="FootnoteText"/>
        <w:rPr>
          <w:rFonts w:cs="Arial"/>
        </w:rPr>
      </w:pPr>
      <w:r w:rsidRPr="0060058F">
        <w:rPr>
          <w:rStyle w:val="FootnoteReference"/>
          <w:rFonts w:cs="Arial"/>
        </w:rPr>
        <w:footnoteRef/>
      </w:r>
      <w:r w:rsidRPr="0060058F">
        <w:rPr>
          <w:rFonts w:cs="Arial"/>
        </w:rPr>
        <w:t xml:space="preserve"> C</w:t>
      </w:r>
      <w:r>
        <w:rPr>
          <w:rFonts w:cs="Arial"/>
        </w:rPr>
        <w:t xml:space="preserve"> Cunneen</w:t>
      </w:r>
      <w:r w:rsidRPr="0060058F">
        <w:rPr>
          <w:rFonts w:cs="Arial"/>
        </w:rPr>
        <w:t>.,. 'Preventing violence against indigenous women through programs which target men'</w:t>
      </w:r>
      <w:r>
        <w:rPr>
          <w:rFonts w:cs="Arial"/>
        </w:rPr>
        <w:t xml:space="preserve"> (2002) 25(1)</w:t>
      </w:r>
      <w:r w:rsidRPr="0060058F">
        <w:rPr>
          <w:rFonts w:cs="Arial"/>
        </w:rPr>
        <w:t xml:space="preserve">, </w:t>
      </w:r>
      <w:r w:rsidRPr="0060058F">
        <w:rPr>
          <w:rFonts w:cs="Arial"/>
          <w:i/>
        </w:rPr>
        <w:t>University of New South Wales Law Journal Forum</w:t>
      </w:r>
      <w:r w:rsidRPr="0060058F">
        <w:rPr>
          <w:rFonts w:cs="Arial"/>
        </w:rPr>
        <w:t>, , p 242.</w:t>
      </w:r>
    </w:p>
  </w:footnote>
  <w:footnote w:id="18">
    <w:p w:rsidR="0099452E" w:rsidRPr="0060058F" w:rsidRDefault="0099452E" w:rsidP="00987552">
      <w:pPr>
        <w:pStyle w:val="FootnoteText"/>
        <w:rPr>
          <w:rFonts w:cs="Arial"/>
        </w:rPr>
      </w:pPr>
      <w:r w:rsidRPr="0060058F">
        <w:rPr>
          <w:rStyle w:val="FootnoteReference"/>
          <w:rFonts w:cs="Arial"/>
        </w:rPr>
        <w:footnoteRef/>
      </w:r>
      <w:r w:rsidRPr="0060058F">
        <w:rPr>
          <w:rFonts w:cs="Arial"/>
        </w:rPr>
        <w:t xml:space="preserve"> Committee on the Elimination of Discrimination against Women, </w:t>
      </w:r>
      <w:r w:rsidRPr="0060058F">
        <w:rPr>
          <w:rFonts w:cs="Arial"/>
          <w:i/>
        </w:rPr>
        <w:t>Concluding comments of the Committee on the Elimination of Discrimination against Women: Australia (2006</w:t>
      </w:r>
      <w:r w:rsidRPr="0060058F">
        <w:rPr>
          <w:rFonts w:cs="Arial"/>
        </w:rPr>
        <w:t>), 34th session, 16 January-3 February 2006, CEDAW/C/AUL/CO/5, p 3.</w:t>
      </w:r>
    </w:p>
  </w:footnote>
  <w:footnote w:id="19">
    <w:p w:rsidR="0099452E" w:rsidRPr="0060058F" w:rsidRDefault="0099452E" w:rsidP="00507902">
      <w:pPr>
        <w:spacing w:before="0" w:after="0"/>
        <w:rPr>
          <w:rFonts w:cs="Arial"/>
        </w:rPr>
      </w:pPr>
      <w:r w:rsidRPr="0060058F">
        <w:rPr>
          <w:rStyle w:val="FootnoteReference"/>
          <w:rFonts w:cs="Arial"/>
        </w:rPr>
        <w:footnoteRef/>
      </w:r>
      <w:r w:rsidRPr="0060058F">
        <w:rPr>
          <w:rFonts w:cs="Arial"/>
          <w:sz w:val="20"/>
        </w:rPr>
        <w:t xml:space="preserve"> </w:t>
      </w:r>
      <w:r w:rsidRPr="007375BC">
        <w:rPr>
          <w:rFonts w:cs="Arial"/>
          <w:sz w:val="20"/>
        </w:rPr>
        <w:t xml:space="preserve">CEDAW Committee, </w:t>
      </w:r>
      <w:r w:rsidRPr="007375BC">
        <w:rPr>
          <w:rFonts w:cs="Arial"/>
          <w:i/>
          <w:sz w:val="20"/>
        </w:rPr>
        <w:t>Views: Communication No 2/2003</w:t>
      </w:r>
      <w:r w:rsidRPr="007375BC">
        <w:rPr>
          <w:rFonts w:cs="Arial"/>
          <w:sz w:val="20"/>
        </w:rPr>
        <w:t>, 32</w:t>
      </w:r>
      <w:r w:rsidRPr="007375BC">
        <w:rPr>
          <w:rFonts w:cs="Arial"/>
          <w:sz w:val="20"/>
          <w:vertAlign w:val="superscript"/>
        </w:rPr>
        <w:t>nd</w:t>
      </w:r>
      <w:r w:rsidRPr="007375BC">
        <w:rPr>
          <w:rFonts w:cs="Arial"/>
          <w:sz w:val="20"/>
        </w:rPr>
        <w:t xml:space="preserve"> sess, UN Doc. CEDAW/C/32/D/2/2003 (26 January 2005) (‘</w:t>
      </w:r>
      <w:r w:rsidRPr="007375BC">
        <w:rPr>
          <w:rFonts w:cs="Arial"/>
          <w:i/>
          <w:sz w:val="20"/>
        </w:rPr>
        <w:t>A.T. v Hungary</w:t>
      </w:r>
      <w:r w:rsidRPr="007375BC">
        <w:rPr>
          <w:rFonts w:cs="Arial"/>
          <w:sz w:val="20"/>
        </w:rPr>
        <w:t>’)</w:t>
      </w:r>
      <w:r>
        <w:rPr>
          <w:rFonts w:cs="Arial"/>
          <w:sz w:val="20"/>
        </w:rPr>
        <w:t xml:space="preserve"> para 9.3.</w:t>
      </w:r>
    </w:p>
  </w:footnote>
  <w:footnote w:id="20">
    <w:p w:rsidR="0099452E" w:rsidRDefault="0099452E">
      <w:pPr>
        <w:pStyle w:val="FootnoteText"/>
      </w:pPr>
      <w:r>
        <w:rPr>
          <w:rStyle w:val="FootnoteReference"/>
        </w:rPr>
        <w:footnoteRef/>
      </w:r>
      <w:r>
        <w:t xml:space="preserve"> .</w:t>
      </w:r>
      <w:r w:rsidRPr="005D5C8B">
        <w:rPr>
          <w:rFonts w:cs="Arial"/>
        </w:rPr>
        <w:t xml:space="preserve"> </w:t>
      </w:r>
      <w:r w:rsidRPr="002043C5">
        <w:rPr>
          <w:rFonts w:cs="Arial"/>
        </w:rPr>
        <w:t xml:space="preserve">UN General Assembly, </w:t>
      </w:r>
      <w:r w:rsidRPr="002043C5">
        <w:rPr>
          <w:rFonts w:cs="Arial"/>
          <w:i/>
          <w:iCs/>
        </w:rPr>
        <w:t>International Covenant on Civil and Political Rights</w:t>
      </w:r>
      <w:r w:rsidRPr="002043C5">
        <w:rPr>
          <w:rFonts w:cs="Arial"/>
        </w:rPr>
        <w:t>,</w:t>
      </w:r>
      <w:r>
        <w:rPr>
          <w:rFonts w:cs="Arial"/>
        </w:rPr>
        <w:t xml:space="preserve"> opened for signature</w:t>
      </w:r>
      <w:r w:rsidRPr="002043C5">
        <w:rPr>
          <w:rFonts w:cs="Arial"/>
        </w:rPr>
        <w:t xml:space="preserve"> 16 December 1966, </w:t>
      </w:r>
      <w:r>
        <w:rPr>
          <w:rFonts w:cs="Arial"/>
        </w:rPr>
        <w:t xml:space="preserve">999 </w:t>
      </w:r>
      <w:r w:rsidRPr="002043C5">
        <w:rPr>
          <w:rFonts w:cs="Arial"/>
        </w:rPr>
        <w:t xml:space="preserve">United Nations, </w:t>
      </w:r>
      <w:r w:rsidRPr="00D94FEE">
        <w:rPr>
          <w:rFonts w:cs="Arial"/>
          <w:i/>
        </w:rPr>
        <w:t>Treaty Series</w:t>
      </w:r>
      <w:r w:rsidRPr="002043C5">
        <w:rPr>
          <w:rFonts w:cs="Arial"/>
        </w:rPr>
        <w:t xml:space="preserve"> 171</w:t>
      </w:r>
      <w:r>
        <w:rPr>
          <w:rFonts w:cs="Arial"/>
        </w:rPr>
        <w:t xml:space="preserve"> (23 March 1976 except Article 41 which came into force 28 March 1979)</w:t>
      </w:r>
      <w:r w:rsidRPr="002043C5">
        <w:rPr>
          <w:rFonts w:cs="Arial"/>
        </w:rPr>
        <w:t>,</w:t>
      </w:r>
    </w:p>
  </w:footnote>
  <w:footnote w:id="21">
    <w:p w:rsidR="0099452E" w:rsidRPr="0060058F" w:rsidRDefault="0099452E" w:rsidP="00987552">
      <w:pPr>
        <w:pStyle w:val="FootnoteText"/>
        <w:rPr>
          <w:rFonts w:cs="Arial"/>
        </w:rPr>
      </w:pPr>
      <w:r w:rsidRPr="0060058F">
        <w:rPr>
          <w:rStyle w:val="FootnoteReference"/>
          <w:rFonts w:cs="Arial"/>
        </w:rPr>
        <w:footnoteRef/>
      </w:r>
      <w:r w:rsidRPr="0060058F">
        <w:rPr>
          <w:rFonts w:cs="Arial"/>
        </w:rPr>
        <w:t xml:space="preserve"> </w:t>
      </w:r>
      <w:r w:rsidRPr="005D5C8B">
        <w:rPr>
          <w:rFonts w:cs="Arial"/>
          <w:i/>
        </w:rPr>
        <w:t xml:space="preserve"> </w:t>
      </w:r>
      <w:r>
        <w:rPr>
          <w:rFonts w:cs="Arial"/>
        </w:rPr>
        <w:t xml:space="preserve">European Court of Human Rights, </w:t>
      </w:r>
      <w:r w:rsidRPr="004F36E1">
        <w:rPr>
          <w:rFonts w:cs="Arial"/>
          <w:i/>
        </w:rPr>
        <w:t>Opuz v Turkey</w:t>
      </w:r>
      <w:r w:rsidRPr="004F36E1">
        <w:rPr>
          <w:rFonts w:cs="Arial"/>
        </w:rPr>
        <w:t xml:space="preserve"> [2009] ECHR 33401/02</w:t>
      </w:r>
      <w:r>
        <w:rPr>
          <w:rFonts w:cs="Arial"/>
        </w:rPr>
        <w:t xml:space="preserve"> </w:t>
      </w:r>
      <w:r w:rsidRPr="00D94FEE">
        <w:rPr>
          <w:rFonts w:cs="Arial"/>
        </w:rPr>
        <w:t>(</w:t>
      </w:r>
      <w:r w:rsidRPr="0060058F">
        <w:rPr>
          <w:rFonts w:cs="Arial"/>
        </w:rPr>
        <w:t>Application No 33401/02, 9 June 2009</w:t>
      </w:r>
      <w:r>
        <w:rPr>
          <w:rFonts w:cs="Arial"/>
        </w:rPr>
        <w:t xml:space="preserve">); </w:t>
      </w:r>
      <w:r w:rsidRPr="004F36E1">
        <w:rPr>
          <w:rFonts w:cs="Arial"/>
        </w:rPr>
        <w:t xml:space="preserve">CEDAW Committee, </w:t>
      </w:r>
      <w:r w:rsidRPr="004F36E1">
        <w:rPr>
          <w:rFonts w:cs="Arial"/>
          <w:i/>
        </w:rPr>
        <w:t>Views: Communication No 6/2005</w:t>
      </w:r>
      <w:r w:rsidRPr="004F36E1">
        <w:rPr>
          <w:rFonts w:cs="Arial"/>
        </w:rPr>
        <w:t>, 39</w:t>
      </w:r>
      <w:r w:rsidRPr="004F36E1">
        <w:rPr>
          <w:rFonts w:cs="Arial"/>
          <w:vertAlign w:val="superscript"/>
        </w:rPr>
        <w:t>th</w:t>
      </w:r>
      <w:r w:rsidRPr="004F36E1">
        <w:rPr>
          <w:rFonts w:cs="Arial"/>
        </w:rPr>
        <w:t xml:space="preserve"> sess, UN Doc CEDAW/C/39/D/6/2005 (1 October 2007) (‘</w:t>
      </w:r>
      <w:r w:rsidRPr="004F36E1">
        <w:rPr>
          <w:rFonts w:cs="Arial"/>
          <w:i/>
        </w:rPr>
        <w:t>Fatma Yildirim v Austria</w:t>
      </w:r>
      <w:r w:rsidRPr="004F36E1">
        <w:rPr>
          <w:rFonts w:cs="Arial"/>
        </w:rPr>
        <w:t>’);</w:t>
      </w:r>
      <w:r>
        <w:rPr>
          <w:rFonts w:cs="Arial"/>
        </w:rPr>
        <w:t xml:space="preserve"> </w:t>
      </w:r>
      <w:r w:rsidRPr="004F36E1">
        <w:rPr>
          <w:rFonts w:cs="Arial"/>
        </w:rPr>
        <w:t xml:space="preserve">CEDAW Committee, </w:t>
      </w:r>
      <w:r w:rsidRPr="004F36E1">
        <w:rPr>
          <w:rFonts w:cs="Arial"/>
          <w:i/>
        </w:rPr>
        <w:t>Views: Communication No 5/2005</w:t>
      </w:r>
      <w:r w:rsidRPr="004F36E1">
        <w:rPr>
          <w:rFonts w:cs="Arial"/>
        </w:rPr>
        <w:t>, 39</w:t>
      </w:r>
      <w:r w:rsidRPr="004F36E1">
        <w:rPr>
          <w:rFonts w:cs="Arial"/>
          <w:vertAlign w:val="superscript"/>
        </w:rPr>
        <w:t>th</w:t>
      </w:r>
      <w:r w:rsidRPr="004F36E1">
        <w:rPr>
          <w:rFonts w:cs="Arial"/>
        </w:rPr>
        <w:t xml:space="preserve"> sess, UN Doc CEDAW/C/39/D/5/2005 (6 August 2007) (‘</w:t>
      </w:r>
      <w:r w:rsidRPr="004F36E1">
        <w:rPr>
          <w:rFonts w:cs="Arial"/>
          <w:i/>
        </w:rPr>
        <w:t>Şahide Goekce v Austria</w:t>
      </w:r>
      <w:r w:rsidRPr="004F36E1">
        <w:rPr>
          <w:rFonts w:cs="Arial"/>
        </w:rPr>
        <w:t>’).</w:t>
      </w:r>
    </w:p>
  </w:footnote>
  <w:footnote w:id="22">
    <w:p w:rsidR="0099452E" w:rsidRPr="0060058F" w:rsidRDefault="0099452E" w:rsidP="00987552">
      <w:pPr>
        <w:pStyle w:val="FootnoteText"/>
        <w:rPr>
          <w:rFonts w:cs="Arial"/>
        </w:rPr>
      </w:pPr>
      <w:r w:rsidRPr="0060058F">
        <w:rPr>
          <w:rStyle w:val="FootnoteReference"/>
          <w:rFonts w:cs="Arial"/>
        </w:rPr>
        <w:footnoteRef/>
      </w:r>
      <w:r w:rsidRPr="0060058F">
        <w:rPr>
          <w:rFonts w:cs="Arial"/>
        </w:rPr>
        <w:t xml:space="preserve"> </w:t>
      </w:r>
      <w:r>
        <w:rPr>
          <w:rFonts w:cs="Arial"/>
        </w:rPr>
        <w:t xml:space="preserve">European Court of Human Rights, </w:t>
      </w:r>
      <w:r w:rsidRPr="004F36E1">
        <w:rPr>
          <w:rFonts w:cs="Arial"/>
          <w:i/>
        </w:rPr>
        <w:t>Opuz v Turkey</w:t>
      </w:r>
      <w:r w:rsidRPr="004F36E1">
        <w:rPr>
          <w:rFonts w:cs="Arial"/>
        </w:rPr>
        <w:t xml:space="preserve"> [2009] ECHR 33401/02</w:t>
      </w:r>
      <w:r>
        <w:rPr>
          <w:rFonts w:cs="Arial"/>
        </w:rPr>
        <w:t xml:space="preserve"> </w:t>
      </w:r>
      <w:r w:rsidRPr="00D94FEE">
        <w:rPr>
          <w:rFonts w:cs="Arial"/>
        </w:rPr>
        <w:t>(</w:t>
      </w:r>
      <w:r w:rsidRPr="0060058F">
        <w:rPr>
          <w:rFonts w:cs="Arial"/>
        </w:rPr>
        <w:t>Application No 33401/02, 9 June 2009</w:t>
      </w:r>
      <w:r>
        <w:rPr>
          <w:rFonts w:cs="Arial"/>
        </w:rPr>
        <w:t>)[</w:t>
      </w:r>
      <w:r w:rsidRPr="00C27B8A">
        <w:rPr>
          <w:rFonts w:cs="Arial"/>
        </w:rPr>
        <w:t>129</w:t>
      </w:r>
      <w:r>
        <w:rPr>
          <w:rFonts w:cs="Arial"/>
        </w:rPr>
        <w:t>]</w:t>
      </w:r>
      <w:r>
        <w:rPr>
          <w:rFonts w:cs="Arial"/>
          <w:i/>
        </w:rPr>
        <w:t>,.</w:t>
      </w:r>
    </w:p>
  </w:footnote>
  <w:footnote w:id="23">
    <w:p w:rsidR="0099452E" w:rsidRPr="005C5E4A" w:rsidRDefault="0099452E" w:rsidP="00305006">
      <w:pPr>
        <w:pStyle w:val="FootnoteText"/>
        <w:rPr>
          <w:color w:val="auto"/>
        </w:rPr>
      </w:pPr>
      <w:r w:rsidRPr="005C5E4A">
        <w:rPr>
          <w:rStyle w:val="FootnoteReference"/>
          <w:color w:val="auto"/>
        </w:rPr>
        <w:footnoteRef/>
      </w:r>
      <w:r w:rsidRPr="005C5E4A">
        <w:rPr>
          <w:color w:val="auto"/>
        </w:rPr>
        <w:t xml:space="preserve"> </w:t>
      </w:r>
      <w:r w:rsidRPr="0060058F">
        <w:rPr>
          <w:rFonts w:cs="Arial"/>
        </w:rPr>
        <w:t xml:space="preserve">Committee on the Elimination of Discrimination against Women, </w:t>
      </w:r>
      <w:r w:rsidRPr="0060058F">
        <w:rPr>
          <w:rFonts w:cs="Arial"/>
          <w:i/>
        </w:rPr>
        <w:t>General Recommendation No 19: Violence</w:t>
      </w:r>
      <w:r w:rsidRPr="0060058F">
        <w:rPr>
          <w:rFonts w:cs="Arial"/>
        </w:rPr>
        <w:t>, 11</w:t>
      </w:r>
      <w:r w:rsidRPr="0060058F">
        <w:rPr>
          <w:rFonts w:cs="Arial"/>
          <w:vertAlign w:val="superscript"/>
        </w:rPr>
        <w:t>th</w:t>
      </w:r>
      <w:r w:rsidRPr="0060058F">
        <w:rPr>
          <w:rFonts w:cs="Arial"/>
        </w:rPr>
        <w:t xml:space="preserve"> sess, UN Doc A/47/38 at 1 (1993) (‘</w:t>
      </w:r>
      <w:r w:rsidRPr="0060058F">
        <w:rPr>
          <w:rFonts w:cs="Arial"/>
          <w:i/>
        </w:rPr>
        <w:t>General Recommendation No 19</w:t>
      </w:r>
      <w:r w:rsidRPr="0060058F">
        <w:rPr>
          <w:rFonts w:cs="Arial"/>
        </w:rPr>
        <w:t>’)</w:t>
      </w:r>
      <w:r w:rsidRPr="005C5E4A">
        <w:rPr>
          <w:rFonts w:cs="Arial"/>
          <w:color w:val="auto"/>
        </w:rPr>
        <w:t>, [24(b)]</w:t>
      </w:r>
      <w:r>
        <w:rPr>
          <w:rFonts w:cs="Arial"/>
          <w:color w:val="auto"/>
        </w:rPr>
        <w:t>.</w:t>
      </w:r>
    </w:p>
  </w:footnote>
  <w:footnote w:id="24">
    <w:p w:rsidR="0099452E" w:rsidRPr="0060058F" w:rsidRDefault="0099452E" w:rsidP="00305006">
      <w:pPr>
        <w:pStyle w:val="FootnoteText"/>
      </w:pPr>
      <w:r w:rsidRPr="0060058F">
        <w:rPr>
          <w:rStyle w:val="FootnoteReference"/>
        </w:rPr>
        <w:footnoteRef/>
      </w:r>
      <w:r w:rsidRPr="0060058F">
        <w:t xml:space="preserve"> </w:t>
      </w:r>
      <w:r w:rsidRPr="0060058F">
        <w:rPr>
          <w:rFonts w:cs="Arial"/>
        </w:rPr>
        <w:t xml:space="preserve">CEDAW Committee, </w:t>
      </w:r>
      <w:r w:rsidRPr="0060058F">
        <w:rPr>
          <w:rFonts w:cs="Arial"/>
          <w:i/>
        </w:rPr>
        <w:t>Views: Communication No</w:t>
      </w:r>
      <w:r w:rsidRPr="0060058F">
        <w:rPr>
          <w:rFonts w:cs="Arial"/>
        </w:rPr>
        <w:t xml:space="preserve"> </w:t>
      </w:r>
      <w:r w:rsidRPr="0060058F">
        <w:rPr>
          <w:rFonts w:cs="Arial"/>
          <w:i/>
        </w:rPr>
        <w:t>20/2008</w:t>
      </w:r>
      <w:r w:rsidRPr="0060058F">
        <w:rPr>
          <w:rFonts w:cs="Arial"/>
        </w:rPr>
        <w:t>, 49</w:t>
      </w:r>
      <w:r w:rsidRPr="0060058F">
        <w:rPr>
          <w:rFonts w:cs="Arial"/>
          <w:vertAlign w:val="superscript"/>
        </w:rPr>
        <w:t>th</w:t>
      </w:r>
      <w:r w:rsidRPr="0060058F">
        <w:rPr>
          <w:rFonts w:cs="Arial"/>
        </w:rPr>
        <w:t xml:space="preserve"> sess,</w:t>
      </w:r>
      <w:r w:rsidRPr="0060058F">
        <w:rPr>
          <w:rFonts w:cs="Arial"/>
          <w:i/>
        </w:rPr>
        <w:t xml:space="preserve"> </w:t>
      </w:r>
      <w:r w:rsidRPr="0060058F">
        <w:rPr>
          <w:rFonts w:cs="Arial"/>
        </w:rPr>
        <w:t>UN Doc CEDAW/C/49/D/20/2008 (17 August 2011) (‘</w:t>
      </w:r>
      <w:r w:rsidRPr="0060058F">
        <w:rPr>
          <w:rFonts w:cs="Arial"/>
          <w:i/>
        </w:rPr>
        <w:t>V.K. v Bulgaria’</w:t>
      </w:r>
      <w:r w:rsidRPr="0060058F">
        <w:rPr>
          <w:rFonts w:cs="Arial"/>
        </w:rPr>
        <w:t>).</w:t>
      </w:r>
    </w:p>
  </w:footnote>
  <w:footnote w:id="25">
    <w:p w:rsidR="0099452E" w:rsidRPr="004F3AFC" w:rsidRDefault="0099452E" w:rsidP="00305006">
      <w:pPr>
        <w:pStyle w:val="FootnoteText"/>
        <w:rPr>
          <w:i/>
        </w:rPr>
      </w:pPr>
      <w:r>
        <w:rPr>
          <w:rStyle w:val="FootnoteReference"/>
        </w:rPr>
        <w:footnoteRef/>
      </w:r>
      <w:r>
        <w:t xml:space="preserve"> T Farrelly and B Lumby, ‘A Best Practice Approach to Cultural Competence Training’ (2009) 33(5) </w:t>
      </w:r>
      <w:r w:rsidRPr="004F3AFC">
        <w:rPr>
          <w:i/>
        </w:rPr>
        <w:t>Aboriginal &amp; Islander Health Worker Journal</w:t>
      </w:r>
      <w:r>
        <w:t xml:space="preserve"> 5, p 5.</w:t>
      </w:r>
      <w:r w:rsidRPr="004F3AFC">
        <w:t xml:space="preserve"> </w:t>
      </w:r>
      <w:r>
        <w:t xml:space="preserve">See further, J Coffin, ‘Rising to the Challenge in Aboriginal Health by Creating Cultural Security’ (2007) 31 (3) </w:t>
      </w:r>
      <w:r w:rsidRPr="004F3AFC">
        <w:rPr>
          <w:i/>
        </w:rPr>
        <w:t>Aboriginal &amp; Islander Health</w:t>
      </w:r>
    </w:p>
    <w:p w:rsidR="0099452E" w:rsidRDefault="0099452E" w:rsidP="00305006">
      <w:pPr>
        <w:pStyle w:val="FootnoteText"/>
      </w:pPr>
      <w:r w:rsidRPr="004F3AFC">
        <w:rPr>
          <w:i/>
        </w:rPr>
        <w:t>Worker Journal</w:t>
      </w:r>
      <w:r>
        <w:t xml:space="preserve"> 22, p 23 and  Australian Human Rights Commission </w:t>
      </w:r>
      <w:r w:rsidRPr="004F3AFC">
        <w:t xml:space="preserve">Social Justice Commissioner, Social Justice Report 2011. </w:t>
      </w:r>
      <w:hyperlink r:id="rId1" w:history="1">
        <w:r w:rsidRPr="002F67AB">
          <w:rPr>
            <w:rStyle w:val="Hyperlink"/>
          </w:rPr>
          <w:t>http://www.humanrights.gov.au/social_justice/sj_report/index.html</w:t>
        </w:r>
      </w:hyperlink>
      <w:r>
        <w:t>. Chapter 4.</w:t>
      </w:r>
    </w:p>
  </w:footnote>
  <w:footnote w:id="26">
    <w:p w:rsidR="0099452E" w:rsidRPr="0060058F" w:rsidRDefault="0099452E" w:rsidP="003B1226">
      <w:pPr>
        <w:spacing w:before="0" w:after="0"/>
        <w:rPr>
          <w:rFonts w:cs="Arial"/>
          <w:sz w:val="20"/>
        </w:rPr>
      </w:pPr>
      <w:r w:rsidRPr="0060058F">
        <w:rPr>
          <w:rStyle w:val="FootnoteReference"/>
          <w:rFonts w:cs="Arial"/>
        </w:rPr>
        <w:footnoteRef/>
      </w:r>
      <w:r w:rsidRPr="0060058F">
        <w:rPr>
          <w:rFonts w:cs="Arial"/>
          <w:sz w:val="20"/>
        </w:rPr>
        <w:t xml:space="preserve">  UN Economic and Social Council, </w:t>
      </w:r>
      <w:r w:rsidRPr="0060058F">
        <w:rPr>
          <w:rFonts w:cs="Arial"/>
          <w:i/>
          <w:sz w:val="20"/>
        </w:rPr>
        <w:t>Integration Of The Human Rights Of Women And The Gender Perspective: Violence Against Women – The Due Diligence Standard As A Tool For The Elimination Of Violone Against Women – Report Of The Special Rapporteur On Violence Against Women.</w:t>
      </w:r>
      <w:r w:rsidRPr="0060058F">
        <w:rPr>
          <w:rFonts w:cs="Arial"/>
          <w:sz w:val="20"/>
        </w:rPr>
        <w:t xml:space="preserve"> </w:t>
      </w:r>
      <w:r>
        <w:rPr>
          <w:rFonts w:cs="Arial"/>
          <w:sz w:val="20"/>
        </w:rPr>
        <w:t>[</w:t>
      </w:r>
      <w:r w:rsidRPr="0060058F">
        <w:rPr>
          <w:rFonts w:cs="Arial"/>
          <w:sz w:val="20"/>
        </w:rPr>
        <w:t>29</w:t>
      </w:r>
      <w:r>
        <w:rPr>
          <w:rFonts w:cs="Arial"/>
          <w:sz w:val="20"/>
        </w:rPr>
        <w:t>].</w:t>
      </w:r>
    </w:p>
  </w:footnote>
  <w:footnote w:id="27">
    <w:p w:rsidR="0099452E" w:rsidRPr="0060058F" w:rsidRDefault="0099452E" w:rsidP="0052438C">
      <w:pPr>
        <w:pStyle w:val="FootnoteText"/>
      </w:pPr>
      <w:r w:rsidRPr="00DB477A">
        <w:rPr>
          <w:rStyle w:val="FootnoteReference"/>
        </w:rPr>
        <w:footnoteRef/>
      </w:r>
      <w:r w:rsidRPr="00DB477A">
        <w:t xml:space="preserve"> </w:t>
      </w:r>
      <w:r w:rsidRPr="00DB477A">
        <w:rPr>
          <w:rFonts w:cs="Arial"/>
        </w:rPr>
        <w:t xml:space="preserve">Marsha A. Freeman, Christine Chinkin and Beate Rudolf (eds), </w:t>
      </w:r>
      <w:r w:rsidRPr="00DB477A">
        <w:rPr>
          <w:rFonts w:cs="Arial"/>
          <w:i/>
        </w:rPr>
        <w:t xml:space="preserve">The UN Convention on the Elimination of All Forms of Discrimination against Women: A Commentary </w:t>
      </w:r>
      <w:r w:rsidRPr="00DB477A">
        <w:rPr>
          <w:rFonts w:cs="Arial"/>
        </w:rPr>
        <w:t xml:space="preserve">(Oxford University Press, 2012) 71, </w:t>
      </w:r>
      <w:r>
        <w:rPr>
          <w:rFonts w:cs="Arial"/>
        </w:rPr>
        <w:t>469.</w:t>
      </w:r>
    </w:p>
  </w:footnote>
  <w:footnote w:id="28">
    <w:p w:rsidR="0099452E" w:rsidRPr="0060058F" w:rsidRDefault="0099452E" w:rsidP="0052438C">
      <w:pPr>
        <w:pStyle w:val="FootnoteText"/>
      </w:pPr>
      <w:r w:rsidRPr="0060058F">
        <w:rPr>
          <w:rStyle w:val="FootnoteReference"/>
        </w:rPr>
        <w:footnoteRef/>
      </w:r>
      <w:r w:rsidRPr="0060058F">
        <w:rPr>
          <w:rFonts w:cs="Arial"/>
        </w:rPr>
        <w:t xml:space="preserve">CEDAW Committee, </w:t>
      </w:r>
      <w:r w:rsidRPr="0060058F">
        <w:rPr>
          <w:rFonts w:cs="Arial"/>
          <w:i/>
        </w:rPr>
        <w:t>Views: Communication No 2/2003</w:t>
      </w:r>
      <w:r w:rsidRPr="0060058F">
        <w:rPr>
          <w:rFonts w:cs="Arial"/>
        </w:rPr>
        <w:t>, 32</w:t>
      </w:r>
      <w:r w:rsidRPr="0060058F">
        <w:rPr>
          <w:rFonts w:cs="Arial"/>
          <w:vertAlign w:val="superscript"/>
        </w:rPr>
        <w:t>nd</w:t>
      </w:r>
      <w:r w:rsidRPr="0060058F">
        <w:rPr>
          <w:rFonts w:cs="Arial"/>
        </w:rPr>
        <w:t xml:space="preserve"> sess, UN Doc. CEDAW/C/32/D/2/2003 (26 January 2005) (‘</w:t>
      </w:r>
      <w:r w:rsidRPr="0060058F">
        <w:rPr>
          <w:rFonts w:cs="Arial"/>
          <w:i/>
        </w:rPr>
        <w:t>A.T. v Hungary</w:t>
      </w:r>
      <w:r w:rsidRPr="0060058F">
        <w:rPr>
          <w:rFonts w:cs="Arial"/>
        </w:rPr>
        <w:t>’)</w:t>
      </w:r>
      <w:r>
        <w:rPr>
          <w:rFonts w:cs="Arial"/>
        </w:rPr>
        <w:t>.</w:t>
      </w:r>
    </w:p>
  </w:footnote>
  <w:footnote w:id="29">
    <w:p w:rsidR="0099452E" w:rsidRPr="0060058F" w:rsidRDefault="0099452E" w:rsidP="0052438C">
      <w:pPr>
        <w:pStyle w:val="FootnoteText"/>
        <w:rPr>
          <w:rFonts w:cs="Arial"/>
        </w:rPr>
      </w:pPr>
      <w:r w:rsidRPr="0060058F">
        <w:rPr>
          <w:rStyle w:val="FootnoteReference"/>
          <w:rFonts w:cs="Arial"/>
        </w:rPr>
        <w:footnoteRef/>
      </w:r>
      <w:r w:rsidRPr="0060058F">
        <w:rPr>
          <w:rFonts w:cs="Arial"/>
        </w:rPr>
        <w:t xml:space="preserve"> CEDAW Committee, </w:t>
      </w:r>
      <w:r w:rsidRPr="0060058F">
        <w:rPr>
          <w:rFonts w:cs="Arial"/>
          <w:i/>
        </w:rPr>
        <w:t>Views: Communication No</w:t>
      </w:r>
      <w:r w:rsidRPr="0060058F">
        <w:rPr>
          <w:rFonts w:cs="Arial"/>
        </w:rPr>
        <w:t xml:space="preserve"> </w:t>
      </w:r>
      <w:r w:rsidRPr="0060058F">
        <w:rPr>
          <w:rFonts w:cs="Arial"/>
          <w:i/>
        </w:rPr>
        <w:t>20/2008</w:t>
      </w:r>
      <w:r w:rsidRPr="0060058F">
        <w:rPr>
          <w:rFonts w:cs="Arial"/>
        </w:rPr>
        <w:t>, 49</w:t>
      </w:r>
      <w:r w:rsidRPr="0060058F">
        <w:rPr>
          <w:rFonts w:cs="Arial"/>
          <w:vertAlign w:val="superscript"/>
        </w:rPr>
        <w:t>th</w:t>
      </w:r>
      <w:r w:rsidRPr="0060058F">
        <w:rPr>
          <w:rFonts w:cs="Arial"/>
        </w:rPr>
        <w:t xml:space="preserve"> sess,</w:t>
      </w:r>
      <w:r w:rsidRPr="0060058F">
        <w:rPr>
          <w:rFonts w:cs="Arial"/>
          <w:i/>
        </w:rPr>
        <w:t xml:space="preserve"> </w:t>
      </w:r>
      <w:r w:rsidRPr="0060058F">
        <w:rPr>
          <w:rFonts w:cs="Arial"/>
        </w:rPr>
        <w:t>UN Doc CEDAW/C/49/D/20/2008 (17 August 2011) (‘</w:t>
      </w:r>
      <w:r w:rsidRPr="0060058F">
        <w:rPr>
          <w:rFonts w:cs="Arial"/>
          <w:i/>
        </w:rPr>
        <w:t>V.K. v Bulgaria’</w:t>
      </w:r>
      <w:r w:rsidRPr="0060058F">
        <w:rPr>
          <w:rFonts w:cs="Arial"/>
        </w:rPr>
        <w:t>).</w:t>
      </w:r>
    </w:p>
  </w:footnote>
  <w:footnote w:id="30">
    <w:p w:rsidR="0099452E" w:rsidRPr="0060058F" w:rsidRDefault="0099452E">
      <w:pPr>
        <w:pStyle w:val="FootnoteText"/>
        <w:rPr>
          <w:rFonts w:cs="Arial"/>
        </w:rPr>
      </w:pPr>
      <w:r w:rsidRPr="0060058F">
        <w:rPr>
          <w:rStyle w:val="FootnoteReference"/>
          <w:rFonts w:cs="Arial"/>
        </w:rPr>
        <w:footnoteRef/>
      </w:r>
      <w:r w:rsidRPr="0060058F">
        <w:rPr>
          <w:rFonts w:cs="Arial"/>
        </w:rPr>
        <w:t xml:space="preserve"> Committee on the Elimination of Discrimination against Women, </w:t>
      </w:r>
      <w:r w:rsidRPr="0060058F">
        <w:rPr>
          <w:rFonts w:cs="Arial"/>
          <w:i/>
        </w:rPr>
        <w:t>General Recommendation No 28</w:t>
      </w:r>
      <w:r w:rsidRPr="0060058F">
        <w:rPr>
          <w:rFonts w:cs="Arial"/>
        </w:rPr>
        <w:t xml:space="preserve"> </w:t>
      </w:r>
      <w:r w:rsidRPr="0060058F">
        <w:rPr>
          <w:rFonts w:cs="Arial"/>
          <w:i/>
        </w:rPr>
        <w:t>on the Core Obligations of States Parties under Article 2 of the Convention on the Elimination of All Forms of Discrimination against Women</w:t>
      </w:r>
      <w:r w:rsidRPr="0060058F">
        <w:rPr>
          <w:rFonts w:cs="Arial"/>
        </w:rPr>
        <w:t>, 47</w:t>
      </w:r>
      <w:r w:rsidRPr="0060058F">
        <w:rPr>
          <w:rFonts w:cs="Arial"/>
          <w:vertAlign w:val="superscript"/>
        </w:rPr>
        <w:t>th</w:t>
      </w:r>
      <w:r w:rsidRPr="0060058F">
        <w:rPr>
          <w:rFonts w:cs="Arial"/>
        </w:rPr>
        <w:t xml:space="preserve"> sess, UN Doc CEDAW/C/GC/28 (16 December 2010) (‘</w:t>
      </w:r>
      <w:r w:rsidRPr="0060058F">
        <w:rPr>
          <w:rFonts w:cs="Arial"/>
          <w:i/>
        </w:rPr>
        <w:t>General Recommendation No 28</w:t>
      </w:r>
      <w:r w:rsidRPr="0060058F">
        <w:rPr>
          <w:rFonts w:cs="Arial"/>
        </w:rPr>
        <w:t>’</w:t>
      </w:r>
      <w:r>
        <w:rPr>
          <w:rFonts w:cs="Arial"/>
        </w:rPr>
        <w:t>) [</w:t>
      </w:r>
      <w:r w:rsidRPr="0060058F">
        <w:rPr>
          <w:rFonts w:cs="Arial"/>
        </w:rPr>
        <w:t>19</w:t>
      </w:r>
      <w:r>
        <w:rPr>
          <w:rFonts w:cs="Arial"/>
        </w:rPr>
        <w:t>]</w:t>
      </w:r>
      <w:r w:rsidRPr="0060058F">
        <w:rPr>
          <w:rFonts w:cs="Arial"/>
        </w:rPr>
        <w:t>.</w:t>
      </w:r>
    </w:p>
  </w:footnote>
  <w:footnote w:id="31">
    <w:p w:rsidR="0099452E" w:rsidRPr="007157AD" w:rsidRDefault="0099452E">
      <w:pPr>
        <w:pStyle w:val="FootnoteText"/>
        <w:rPr>
          <w:rFonts w:cs="Arial"/>
        </w:rPr>
      </w:pPr>
      <w:r w:rsidRPr="007157AD">
        <w:rPr>
          <w:rStyle w:val="FootnoteReference"/>
          <w:rFonts w:cs="Arial"/>
        </w:rPr>
        <w:footnoteRef/>
      </w:r>
      <w:r w:rsidRPr="007157AD">
        <w:rPr>
          <w:rFonts w:cs="Arial"/>
        </w:rPr>
        <w:t xml:space="preserve"> </w:t>
      </w:r>
      <w:r w:rsidRPr="0060058F">
        <w:rPr>
          <w:rFonts w:cs="Arial"/>
        </w:rPr>
        <w:t xml:space="preserve">Committee on the Elimination of Discrimination against Women, </w:t>
      </w:r>
      <w:r w:rsidRPr="0060058F">
        <w:rPr>
          <w:rFonts w:cs="Arial"/>
          <w:i/>
        </w:rPr>
        <w:t>General Recommendation No 19: Violence</w:t>
      </w:r>
      <w:r w:rsidRPr="0060058F">
        <w:rPr>
          <w:rFonts w:cs="Arial"/>
        </w:rPr>
        <w:t>, 11</w:t>
      </w:r>
      <w:r w:rsidRPr="0060058F">
        <w:rPr>
          <w:rFonts w:cs="Arial"/>
          <w:vertAlign w:val="superscript"/>
        </w:rPr>
        <w:t>th</w:t>
      </w:r>
      <w:r w:rsidRPr="0060058F">
        <w:rPr>
          <w:rFonts w:cs="Arial"/>
        </w:rPr>
        <w:t xml:space="preserve"> sess, UN Doc A/47/38 at 1 (1993) (‘</w:t>
      </w:r>
      <w:r w:rsidRPr="0060058F">
        <w:rPr>
          <w:rFonts w:cs="Arial"/>
          <w:i/>
        </w:rPr>
        <w:t>General Recommendation No 19</w:t>
      </w:r>
      <w:r w:rsidRPr="0060058F">
        <w:rPr>
          <w:rFonts w:cs="Arial"/>
        </w:rPr>
        <w:t>’)</w:t>
      </w:r>
      <w:r w:rsidRPr="007157AD">
        <w:rPr>
          <w:rFonts w:cs="Arial"/>
        </w:rPr>
        <w:t xml:space="preserve">, </w:t>
      </w:r>
      <w:r>
        <w:rPr>
          <w:rFonts w:cs="Arial"/>
        </w:rPr>
        <w:t>[</w:t>
      </w:r>
      <w:r w:rsidRPr="007157AD">
        <w:rPr>
          <w:rFonts w:cs="Arial"/>
        </w:rPr>
        <w:t>9</w:t>
      </w:r>
      <w:r>
        <w:rPr>
          <w:rFonts w:cs="Arial"/>
        </w:rPr>
        <w:t>]</w:t>
      </w:r>
      <w:r w:rsidRPr="007157AD">
        <w:rPr>
          <w:rFonts w:cs="Arial"/>
        </w:rPr>
        <w:t>:</w:t>
      </w:r>
    </w:p>
  </w:footnote>
  <w:footnote w:id="32">
    <w:p w:rsidR="0099452E" w:rsidRDefault="0099452E">
      <w:pPr>
        <w:pStyle w:val="FootnoteText"/>
      </w:pPr>
      <w:r>
        <w:rPr>
          <w:rStyle w:val="FootnoteReference"/>
        </w:rPr>
        <w:footnoteRef/>
      </w:r>
      <w:r>
        <w:t xml:space="preserve"> </w:t>
      </w:r>
      <w:r w:rsidRPr="00850CC5">
        <w:rPr>
          <w:rFonts w:cs="Arial"/>
        </w:rPr>
        <w:t xml:space="preserve">UN General Assembly, </w:t>
      </w:r>
      <w:r w:rsidRPr="00850CC5">
        <w:rPr>
          <w:rFonts w:cs="Arial"/>
          <w:i/>
          <w:iCs/>
        </w:rPr>
        <w:t>Declaration on the Elimination of Violence against Women</w:t>
      </w:r>
      <w:r w:rsidRPr="00850CC5">
        <w:rPr>
          <w:rFonts w:cs="Arial"/>
        </w:rPr>
        <w:t>, 20 December 1993, A/RES/48/104, available at: http://www.unhcr.org/refworld/docid/3b00f25d2c.html [accessed 25 June 2012]</w:t>
      </w:r>
      <w:r>
        <w:rPr>
          <w:rFonts w:cs="Arial"/>
        </w:rPr>
        <w:t>.</w:t>
      </w:r>
    </w:p>
  </w:footnote>
  <w:footnote w:id="33">
    <w:p w:rsidR="0099452E" w:rsidRPr="0060058F" w:rsidRDefault="0099452E" w:rsidP="00507902">
      <w:pPr>
        <w:pStyle w:val="HTMLPreformatted"/>
        <w:spacing w:before="0" w:after="0"/>
        <w:rPr>
          <w:rFonts w:cs="Arial"/>
        </w:rPr>
      </w:pPr>
      <w:r w:rsidRPr="007157AD">
        <w:rPr>
          <w:rStyle w:val="FootnoteReference"/>
          <w:rFonts w:cs="Arial"/>
        </w:rPr>
        <w:footnoteRef/>
      </w:r>
      <w:r w:rsidRPr="007157AD">
        <w:rPr>
          <w:rFonts w:ascii="Arial" w:hAnsi="Arial" w:cs="Arial"/>
        </w:rPr>
        <w:t xml:space="preserve"> </w:t>
      </w:r>
      <w:r>
        <w:rPr>
          <w:rFonts w:ascii="Trebuchet MS" w:hAnsi="Trebuchet MS" w:cs="Arial"/>
          <w:sz w:val="22"/>
          <w:szCs w:val="22"/>
        </w:rPr>
        <w:t xml:space="preserve">Ibid, </w:t>
      </w:r>
      <w:r w:rsidRPr="007157AD">
        <w:rPr>
          <w:rFonts w:ascii="Arial" w:hAnsi="Arial" w:cs="Arial"/>
        </w:rPr>
        <w:t>Article 4(c)</w:t>
      </w:r>
      <w:r>
        <w:rPr>
          <w:rFonts w:ascii="Arial" w:hAnsi="Arial" w:cs="Arial"/>
        </w:rPr>
        <w:t>.</w:t>
      </w:r>
    </w:p>
  </w:footnote>
  <w:footnote w:id="34">
    <w:p w:rsidR="0099452E" w:rsidRPr="0060058F" w:rsidRDefault="0099452E" w:rsidP="00987552">
      <w:pPr>
        <w:pStyle w:val="FootnoteText"/>
        <w:rPr>
          <w:rFonts w:cs="Arial"/>
        </w:rPr>
      </w:pPr>
      <w:r w:rsidRPr="0060058F">
        <w:rPr>
          <w:rStyle w:val="FootnoteReference"/>
          <w:rFonts w:cs="Arial"/>
        </w:rPr>
        <w:footnoteRef/>
      </w:r>
      <w:r w:rsidRPr="0060058F">
        <w:rPr>
          <w:rFonts w:cs="Arial"/>
        </w:rPr>
        <w:t xml:space="preserve"> UN Economic and Social Council, </w:t>
      </w:r>
      <w:r w:rsidRPr="0060058F">
        <w:rPr>
          <w:rFonts w:cs="Arial"/>
          <w:i/>
        </w:rPr>
        <w:t>Integration Of The Human Rights Of Women And The Gender Perspective: Violence Against Women – The Due Diligence Standard As A Tool For The Elimination Of Violone Against Women – Report Of The Special Rapporteur On Violence Against Women.</w:t>
      </w:r>
      <w:r w:rsidRPr="0060058F">
        <w:rPr>
          <w:rFonts w:cs="Arial"/>
        </w:rPr>
        <w:t xml:space="preserve"> </w:t>
      </w:r>
      <w:r>
        <w:rPr>
          <w:rFonts w:cs="Arial"/>
        </w:rPr>
        <w:t>[</w:t>
      </w:r>
      <w:r w:rsidRPr="0060058F">
        <w:rPr>
          <w:rFonts w:cs="Arial"/>
        </w:rPr>
        <w:t>37</w:t>
      </w:r>
      <w:r>
        <w:rPr>
          <w:rFonts w:cs="Arial"/>
        </w:rPr>
        <w:t>]</w:t>
      </w:r>
      <w:r w:rsidRPr="0060058F">
        <w:rPr>
          <w:rFonts w:cs="Arial"/>
        </w:rPr>
        <w:t>.</w:t>
      </w:r>
    </w:p>
  </w:footnote>
  <w:footnote w:id="35">
    <w:p w:rsidR="0099452E" w:rsidRPr="0060058F" w:rsidRDefault="0099452E">
      <w:pPr>
        <w:pStyle w:val="FootnoteText"/>
      </w:pPr>
      <w:r w:rsidRPr="00DB477A">
        <w:rPr>
          <w:rStyle w:val="FootnoteReference"/>
        </w:rPr>
        <w:footnoteRef/>
      </w:r>
      <w:r w:rsidRPr="00DB477A">
        <w:t xml:space="preserve"> </w:t>
      </w:r>
      <w:r>
        <w:rPr>
          <w:rFonts w:cs="Arial"/>
        </w:rPr>
        <w:t xml:space="preserve">Above n 27, </w:t>
      </w:r>
      <w:r w:rsidRPr="00DB477A">
        <w:rPr>
          <w:rFonts w:cs="Arial"/>
        </w:rPr>
        <w:t>466.</w:t>
      </w:r>
    </w:p>
  </w:footnote>
  <w:footnote w:id="36">
    <w:p w:rsidR="0099452E" w:rsidRPr="0060058F" w:rsidRDefault="0099452E">
      <w:pPr>
        <w:pStyle w:val="FootnoteText"/>
      </w:pPr>
      <w:r w:rsidRPr="0060058F">
        <w:rPr>
          <w:rStyle w:val="FootnoteReference"/>
        </w:rPr>
        <w:footnoteRef/>
      </w:r>
      <w:r w:rsidRPr="0060058F">
        <w:t xml:space="preserve"> </w:t>
      </w:r>
      <w:r w:rsidRPr="00DB477A">
        <w:rPr>
          <w:rFonts w:cs="Arial"/>
        </w:rPr>
        <w:t xml:space="preserve">Marsha A. Freeman, Christine Chinkin and Beate Rudolf (eds), </w:t>
      </w:r>
      <w:r w:rsidRPr="00DB477A">
        <w:rPr>
          <w:rFonts w:cs="Arial"/>
          <w:i/>
        </w:rPr>
        <w:t xml:space="preserve">The UN Convention on the Elimination of All Forms of Discrimination against Women: A Commentary </w:t>
      </w:r>
      <w:r w:rsidRPr="00DB477A">
        <w:rPr>
          <w:rFonts w:cs="Arial"/>
        </w:rPr>
        <w:t>(Oxford University Press, 2012) 71</w:t>
      </w:r>
      <w:r>
        <w:rPr>
          <w:rFonts w:cs="Arial"/>
        </w:rPr>
        <w:t>,</w:t>
      </w:r>
      <w:r w:rsidRPr="0060058F">
        <w:rPr>
          <w:rFonts w:cs="Arial"/>
        </w:rPr>
        <w:t xml:space="preserve"> 466-467, citing</w:t>
      </w:r>
      <w:r w:rsidRPr="00374F2F">
        <w:rPr>
          <w:rFonts w:cs="Arial"/>
        </w:rPr>
        <w:t xml:space="preserve"> </w:t>
      </w:r>
      <w:r w:rsidRPr="004F36E1">
        <w:rPr>
          <w:rFonts w:cs="Arial"/>
        </w:rPr>
        <w:t xml:space="preserve">CEDAW Committee, </w:t>
      </w:r>
      <w:r w:rsidRPr="004F36E1">
        <w:rPr>
          <w:rFonts w:cs="Arial"/>
          <w:i/>
        </w:rPr>
        <w:t>Views: Communication No 6/2005</w:t>
      </w:r>
      <w:r w:rsidRPr="004F36E1">
        <w:rPr>
          <w:rFonts w:cs="Arial"/>
        </w:rPr>
        <w:t>, 39</w:t>
      </w:r>
      <w:r w:rsidRPr="004F36E1">
        <w:rPr>
          <w:rFonts w:cs="Arial"/>
          <w:vertAlign w:val="superscript"/>
        </w:rPr>
        <w:t>th</w:t>
      </w:r>
      <w:r w:rsidRPr="004F36E1">
        <w:rPr>
          <w:rFonts w:cs="Arial"/>
        </w:rPr>
        <w:t xml:space="preserve"> sess, UN Doc CEDAW/C/39/D/6/2005 (1 October 2007) (‘</w:t>
      </w:r>
      <w:r w:rsidRPr="004F36E1">
        <w:rPr>
          <w:rFonts w:cs="Arial"/>
          <w:i/>
        </w:rPr>
        <w:t>Fatma Yildirim v Austria</w:t>
      </w:r>
      <w:r w:rsidRPr="004F36E1">
        <w:rPr>
          <w:rFonts w:cs="Arial"/>
        </w:rPr>
        <w:t>’)</w:t>
      </w:r>
      <w:r w:rsidRPr="0060058F">
        <w:rPr>
          <w:rFonts w:cs="Arial"/>
        </w:rPr>
        <w:t xml:space="preserve"> </w:t>
      </w:r>
      <w:r>
        <w:rPr>
          <w:rFonts w:cs="Arial"/>
        </w:rPr>
        <w:t>at [</w:t>
      </w:r>
      <w:r w:rsidRPr="0060058F">
        <w:rPr>
          <w:rFonts w:cs="Arial"/>
        </w:rPr>
        <w:t>12.1.2</w:t>
      </w:r>
      <w:r>
        <w:rPr>
          <w:rFonts w:cs="Arial"/>
        </w:rPr>
        <w:t>]</w:t>
      </w:r>
      <w:r w:rsidRPr="0060058F">
        <w:rPr>
          <w:rFonts w:cs="Arial"/>
        </w:rPr>
        <w:t xml:space="preserve"> and </w:t>
      </w:r>
      <w:r w:rsidRPr="004F36E1">
        <w:rPr>
          <w:rFonts w:cs="Arial"/>
        </w:rPr>
        <w:t xml:space="preserve">CEDAW Committee, </w:t>
      </w:r>
      <w:r w:rsidRPr="004F36E1">
        <w:rPr>
          <w:rFonts w:cs="Arial"/>
          <w:i/>
        </w:rPr>
        <w:t>Views: Communication No 5/2005</w:t>
      </w:r>
      <w:r w:rsidRPr="004F36E1">
        <w:rPr>
          <w:rFonts w:cs="Arial"/>
        </w:rPr>
        <w:t>, 39</w:t>
      </w:r>
      <w:r w:rsidRPr="004F36E1">
        <w:rPr>
          <w:rFonts w:cs="Arial"/>
          <w:vertAlign w:val="superscript"/>
        </w:rPr>
        <w:t>th</w:t>
      </w:r>
      <w:r w:rsidRPr="004F36E1">
        <w:rPr>
          <w:rFonts w:cs="Arial"/>
        </w:rPr>
        <w:t xml:space="preserve"> sess, UN Doc CEDAW/C/39/D/5/2005 (6 August 2007) (‘</w:t>
      </w:r>
      <w:r w:rsidRPr="004F36E1">
        <w:rPr>
          <w:rFonts w:cs="Arial"/>
          <w:i/>
        </w:rPr>
        <w:t>Şahide Goekce v Austria</w:t>
      </w:r>
      <w:r w:rsidRPr="004F36E1">
        <w:rPr>
          <w:rFonts w:cs="Arial"/>
        </w:rPr>
        <w:t>’).</w:t>
      </w:r>
      <w:r w:rsidRPr="00C27B8A">
        <w:rPr>
          <w:rFonts w:cs="Arial"/>
        </w:rPr>
        <w:t>at</w:t>
      </w:r>
      <w:r>
        <w:rPr>
          <w:rFonts w:cs="Arial"/>
        </w:rPr>
        <w:t xml:space="preserve"> [</w:t>
      </w:r>
      <w:r w:rsidRPr="0060058F">
        <w:rPr>
          <w:rFonts w:cs="Arial"/>
        </w:rPr>
        <w:t>12.1.2</w:t>
      </w:r>
      <w:r>
        <w:rPr>
          <w:rFonts w:cs="Arial"/>
        </w:rPr>
        <w:t>]</w:t>
      </w:r>
      <w:r w:rsidRPr="0060058F">
        <w:rPr>
          <w:rFonts w:cs="Arial"/>
        </w:rPr>
        <w:t>.</w:t>
      </w:r>
    </w:p>
  </w:footnote>
  <w:footnote w:id="37">
    <w:p w:rsidR="0099452E" w:rsidRPr="0060058F" w:rsidRDefault="0099452E" w:rsidP="00987552">
      <w:pPr>
        <w:pStyle w:val="FootnoteText"/>
        <w:rPr>
          <w:rFonts w:cs="Arial"/>
        </w:rPr>
      </w:pPr>
      <w:r w:rsidRPr="0060058F">
        <w:rPr>
          <w:rStyle w:val="FootnoteReference"/>
          <w:rFonts w:cs="Arial"/>
        </w:rPr>
        <w:footnoteRef/>
      </w:r>
      <w:r w:rsidRPr="0060058F">
        <w:rPr>
          <w:rFonts w:cs="Arial"/>
        </w:rPr>
        <w:t xml:space="preserve"> </w:t>
      </w:r>
      <w:bookmarkStart w:id="1" w:name="OLE_LINK1"/>
      <w:r w:rsidRPr="0060058F">
        <w:rPr>
          <w:rFonts w:cs="Arial"/>
        </w:rPr>
        <w:t xml:space="preserve">United Nations Human Rights Council, </w:t>
      </w:r>
      <w:r w:rsidRPr="007157AD">
        <w:rPr>
          <w:rFonts w:cs="Arial"/>
          <w:i/>
        </w:rPr>
        <w:t>Accelerating Efforts to eliminate all forms of violence against women: ensuring due diligence in prevention</w:t>
      </w:r>
      <w:bookmarkEnd w:id="1"/>
      <w:r w:rsidRPr="0060058F">
        <w:rPr>
          <w:rFonts w:cs="Arial"/>
        </w:rPr>
        <w:t>, UN Doc A/HRC/RES/14/12</w:t>
      </w:r>
      <w:r>
        <w:rPr>
          <w:rFonts w:cs="Arial"/>
        </w:rPr>
        <w:t>,</w:t>
      </w:r>
      <w:r w:rsidRPr="0060058F">
        <w:rPr>
          <w:rFonts w:cs="Arial"/>
        </w:rPr>
        <w:t xml:space="preserve"> </w:t>
      </w:r>
      <w:r>
        <w:rPr>
          <w:rFonts w:cs="Arial"/>
        </w:rPr>
        <w:t>[</w:t>
      </w:r>
      <w:r w:rsidRPr="0060058F">
        <w:rPr>
          <w:rFonts w:cs="Arial"/>
        </w:rPr>
        <w:t>5</w:t>
      </w:r>
      <w:r>
        <w:rPr>
          <w:rFonts w:cs="Arial"/>
        </w:rPr>
        <w:t>]</w:t>
      </w:r>
    </w:p>
  </w:footnote>
  <w:footnote w:id="38">
    <w:p w:rsidR="0099452E" w:rsidRPr="0060058F" w:rsidRDefault="0099452E" w:rsidP="00987552">
      <w:pPr>
        <w:pStyle w:val="FootnoteText"/>
        <w:rPr>
          <w:rFonts w:cs="Arial"/>
        </w:rPr>
      </w:pPr>
      <w:r w:rsidRPr="0060058F">
        <w:rPr>
          <w:rStyle w:val="FootnoteReference"/>
          <w:rFonts w:cs="Arial"/>
        </w:rPr>
        <w:footnoteRef/>
      </w:r>
      <w:r w:rsidRPr="0060058F">
        <w:rPr>
          <w:rFonts w:cs="Arial"/>
        </w:rPr>
        <w:t xml:space="preserve"> United Nations Human Rights Council, </w:t>
      </w:r>
      <w:r w:rsidRPr="0060058F">
        <w:rPr>
          <w:rFonts w:cs="Arial"/>
          <w:i/>
        </w:rPr>
        <w:t>Accelerating efforts to elimination all forms of violence against women: ensuring due diligence in protection</w:t>
      </w:r>
      <w:r w:rsidRPr="0060058F">
        <w:rPr>
          <w:rFonts w:cs="Arial"/>
        </w:rPr>
        <w:t>, resolution 17/11, UN Doc A/HRC/17/L.6 para 2.</w:t>
      </w:r>
    </w:p>
  </w:footnote>
  <w:footnote w:id="39">
    <w:p w:rsidR="0099452E" w:rsidRDefault="0099452E">
      <w:pPr>
        <w:pStyle w:val="FootnoteText"/>
      </w:pPr>
      <w:r>
        <w:rPr>
          <w:rStyle w:val="FootnoteReference"/>
        </w:rPr>
        <w:footnoteRef/>
      </w:r>
      <w:r>
        <w:t xml:space="preserve"> </w:t>
      </w:r>
      <w:r w:rsidRPr="0060058F">
        <w:rPr>
          <w:rFonts w:cs="Arial"/>
        </w:rPr>
        <w:t xml:space="preserve">CEDAW Committee, </w:t>
      </w:r>
      <w:r w:rsidRPr="0060058F">
        <w:rPr>
          <w:rFonts w:cs="Arial"/>
          <w:i/>
        </w:rPr>
        <w:t>Views: Communication No 6/2005</w:t>
      </w:r>
      <w:r w:rsidRPr="0060058F">
        <w:rPr>
          <w:rFonts w:cs="Arial"/>
        </w:rPr>
        <w:t>, 39</w:t>
      </w:r>
      <w:r w:rsidRPr="0060058F">
        <w:rPr>
          <w:rFonts w:cs="Arial"/>
          <w:vertAlign w:val="superscript"/>
        </w:rPr>
        <w:t>th</w:t>
      </w:r>
      <w:r w:rsidRPr="0060058F">
        <w:rPr>
          <w:rFonts w:cs="Arial"/>
        </w:rPr>
        <w:t xml:space="preserve"> sess, UN Doc CEDAW/C/39/D/6/2005 (1 October 2007) (‘</w:t>
      </w:r>
      <w:r w:rsidRPr="0060058F">
        <w:rPr>
          <w:rFonts w:cs="Arial"/>
          <w:i/>
        </w:rPr>
        <w:t>Fatma Yildirim v Austria</w:t>
      </w:r>
      <w:r w:rsidRPr="0060058F">
        <w:rPr>
          <w:rFonts w:cs="Arial"/>
        </w:rPr>
        <w:t>’)</w:t>
      </w:r>
      <w:r w:rsidRPr="0060058F">
        <w:rPr>
          <w:rFonts w:cs="Arial"/>
          <w:i/>
        </w:rPr>
        <w:t>.</w:t>
      </w:r>
    </w:p>
  </w:footnote>
  <w:footnote w:id="40">
    <w:p w:rsidR="0099452E" w:rsidRPr="0060058F" w:rsidRDefault="0099452E" w:rsidP="00987552">
      <w:pPr>
        <w:pStyle w:val="FootnoteText"/>
        <w:rPr>
          <w:rFonts w:cs="Arial"/>
        </w:rPr>
      </w:pPr>
      <w:r w:rsidRPr="0060058F">
        <w:rPr>
          <w:rStyle w:val="FootnoteReference"/>
          <w:rFonts w:cs="Arial"/>
        </w:rPr>
        <w:footnoteRef/>
      </w:r>
      <w:r w:rsidRPr="0060058F">
        <w:rPr>
          <w:rFonts w:cs="Arial"/>
        </w:rPr>
        <w:t xml:space="preserve"> [2009] ECHR 33401/02.</w:t>
      </w:r>
    </w:p>
  </w:footnote>
  <w:footnote w:id="41">
    <w:p w:rsidR="0099452E" w:rsidRPr="0060058F" w:rsidRDefault="0099452E" w:rsidP="000F2D4A">
      <w:pPr>
        <w:pStyle w:val="FootnoteText"/>
        <w:rPr>
          <w:rFonts w:cs="Arial"/>
        </w:rPr>
      </w:pPr>
      <w:r w:rsidRPr="0060058F">
        <w:rPr>
          <w:rStyle w:val="FootnoteReference"/>
          <w:rFonts w:cs="Arial"/>
        </w:rPr>
        <w:footnoteRef/>
      </w:r>
      <w:r w:rsidRPr="0060058F">
        <w:rPr>
          <w:rFonts w:cs="Arial"/>
        </w:rPr>
        <w:t xml:space="preserve"> </w:t>
      </w:r>
      <w:r w:rsidRPr="007157AD">
        <w:rPr>
          <w:rFonts w:cs="Arial"/>
        </w:rPr>
        <w:t xml:space="preserve">UN General Assembly, </w:t>
      </w:r>
      <w:r w:rsidRPr="007157AD">
        <w:rPr>
          <w:rFonts w:cs="Arial"/>
          <w:i/>
          <w:iCs/>
        </w:rPr>
        <w:t>Convention on the Elimination of All Forms of Discrimination Against Women</w:t>
      </w:r>
      <w:r w:rsidRPr="007157AD">
        <w:rPr>
          <w:rFonts w:cs="Arial"/>
        </w:rPr>
        <w:t xml:space="preserve">, </w:t>
      </w:r>
      <w:r>
        <w:rPr>
          <w:rFonts w:cs="Arial"/>
        </w:rPr>
        <w:t xml:space="preserve">opened for signature </w:t>
      </w:r>
      <w:r w:rsidRPr="007157AD">
        <w:rPr>
          <w:rFonts w:cs="Arial"/>
        </w:rPr>
        <w:t xml:space="preserve">18 December 1979, </w:t>
      </w:r>
      <w:r>
        <w:rPr>
          <w:rFonts w:cs="Arial"/>
        </w:rPr>
        <w:t xml:space="preserve">1249 </w:t>
      </w:r>
      <w:r w:rsidRPr="007157AD">
        <w:rPr>
          <w:rFonts w:cs="Arial"/>
        </w:rPr>
        <w:t xml:space="preserve">United Nations, </w:t>
      </w:r>
      <w:r w:rsidRPr="00D94FEE">
        <w:rPr>
          <w:rFonts w:cs="Arial"/>
          <w:i/>
        </w:rPr>
        <w:t>Treaty Series</w:t>
      </w:r>
      <w:r w:rsidRPr="007157AD">
        <w:rPr>
          <w:rFonts w:cs="Arial"/>
        </w:rPr>
        <w:t>, 13</w:t>
      </w:r>
      <w:r>
        <w:rPr>
          <w:rFonts w:cs="Arial"/>
        </w:rPr>
        <w:t xml:space="preserve"> (entered into force  3 September 1981)</w:t>
      </w:r>
      <w:r w:rsidRPr="007157AD">
        <w:rPr>
          <w:rFonts w:cs="Arial"/>
        </w:rPr>
        <w:t>, available at: http://www.unhcr.org/refworld/docid/3ae6b3970.html [accessed 22 June 2012]</w:t>
      </w:r>
      <w:r>
        <w:rPr>
          <w:rFonts w:cs="Arial"/>
        </w:rPr>
        <w:t xml:space="preserve">, </w:t>
      </w:r>
      <w:r w:rsidRPr="004F1CB9">
        <w:rPr>
          <w:rFonts w:cs="Arial"/>
        </w:rPr>
        <w:t>art 2(e) (requiring States Parties to ‘take all appropriate measures to eliminate discrimination against women by any person, organization or enterprise’.).</w:t>
      </w:r>
      <w:r w:rsidRPr="0060058F">
        <w:rPr>
          <w:rFonts w:cs="Arial"/>
        </w:rPr>
        <w:t xml:space="preserve">  See also Committee on the Elimination of Discrimination against Women, </w:t>
      </w:r>
      <w:r w:rsidRPr="0060058F">
        <w:rPr>
          <w:rFonts w:cs="Arial"/>
          <w:i/>
        </w:rPr>
        <w:t>General Recommendation No 28</w:t>
      </w:r>
      <w:r w:rsidRPr="0060058F">
        <w:rPr>
          <w:rFonts w:cs="Arial"/>
        </w:rPr>
        <w:t xml:space="preserve"> </w:t>
      </w:r>
      <w:r w:rsidRPr="0060058F">
        <w:rPr>
          <w:rFonts w:cs="Arial"/>
          <w:i/>
        </w:rPr>
        <w:t>on the Core Obligations of States Parties under Article 2 of the Convention on the Elimination of All Forms of Discrimination against Women</w:t>
      </w:r>
      <w:r w:rsidRPr="0060058F">
        <w:rPr>
          <w:rFonts w:cs="Arial"/>
        </w:rPr>
        <w:t>, 47</w:t>
      </w:r>
      <w:r w:rsidRPr="0060058F">
        <w:rPr>
          <w:rFonts w:cs="Arial"/>
          <w:vertAlign w:val="superscript"/>
        </w:rPr>
        <w:t>th</w:t>
      </w:r>
      <w:r w:rsidRPr="0060058F">
        <w:rPr>
          <w:rFonts w:cs="Arial"/>
        </w:rPr>
        <w:t xml:space="preserve"> sess, UN Doc CEDAW/C/GC/28 (16 December 2010) (‘</w:t>
      </w:r>
      <w:r w:rsidRPr="0060058F">
        <w:rPr>
          <w:rFonts w:cs="Arial"/>
          <w:i/>
        </w:rPr>
        <w:t>General Recommendation No 28</w:t>
      </w:r>
      <w:r w:rsidRPr="0060058F">
        <w:rPr>
          <w:rFonts w:cs="Arial"/>
        </w:rPr>
        <w:t xml:space="preserve">’) [13]; CEDAW Committee, </w:t>
      </w:r>
      <w:r w:rsidRPr="0060058F">
        <w:rPr>
          <w:rFonts w:cs="Arial"/>
          <w:i/>
        </w:rPr>
        <w:t>General Recommendation No 19: Violence</w:t>
      </w:r>
      <w:r w:rsidRPr="0060058F">
        <w:rPr>
          <w:rFonts w:cs="Arial"/>
        </w:rPr>
        <w:t>, 11</w:t>
      </w:r>
      <w:r w:rsidRPr="0060058F">
        <w:rPr>
          <w:rFonts w:cs="Arial"/>
          <w:vertAlign w:val="superscript"/>
        </w:rPr>
        <w:t>th</w:t>
      </w:r>
      <w:r w:rsidRPr="0060058F">
        <w:rPr>
          <w:rFonts w:cs="Arial"/>
        </w:rPr>
        <w:t xml:space="preserve"> sess, UN Doc A/47/38 at 1 (1993) (‘</w:t>
      </w:r>
      <w:r w:rsidRPr="0060058F">
        <w:rPr>
          <w:rFonts w:cs="Arial"/>
          <w:i/>
        </w:rPr>
        <w:t>General Recommendation No 19</w:t>
      </w:r>
      <w:r w:rsidRPr="0060058F">
        <w:rPr>
          <w:rFonts w:cs="Arial"/>
        </w:rPr>
        <w:t>’) [9].</w:t>
      </w:r>
    </w:p>
  </w:footnote>
  <w:footnote w:id="42">
    <w:p w:rsidR="0099452E" w:rsidRPr="0060058F" w:rsidRDefault="0099452E" w:rsidP="00987552">
      <w:pPr>
        <w:pStyle w:val="FootnoteText"/>
        <w:rPr>
          <w:rFonts w:cs="Arial"/>
        </w:rPr>
      </w:pPr>
      <w:r w:rsidRPr="0060058F">
        <w:rPr>
          <w:rStyle w:val="FootnoteReference"/>
          <w:rFonts w:cs="Arial"/>
        </w:rPr>
        <w:footnoteRef/>
      </w:r>
      <w:r w:rsidRPr="0060058F">
        <w:rPr>
          <w:rFonts w:cs="Arial"/>
        </w:rPr>
        <w:t xml:space="preserve"> See, eg, </w:t>
      </w:r>
      <w:r w:rsidRPr="0060058F">
        <w:rPr>
          <w:rFonts w:cs="Arial"/>
          <w:bCs/>
          <w:i/>
        </w:rPr>
        <w:t>Council of Europe Convention on Preventing and Combating Violence against Women and Domestic Violence</w:t>
      </w:r>
      <w:r w:rsidRPr="0060058F">
        <w:rPr>
          <w:rFonts w:cs="Arial"/>
          <w:bCs/>
        </w:rPr>
        <w:t>,</w:t>
      </w:r>
      <w:r w:rsidRPr="0060058F">
        <w:rPr>
          <w:rFonts w:cs="Arial"/>
          <w:bCs/>
          <w:i/>
        </w:rPr>
        <w:t xml:space="preserve"> </w:t>
      </w:r>
      <w:r w:rsidRPr="0060058F">
        <w:rPr>
          <w:rFonts w:cs="Arial"/>
          <w:bCs/>
        </w:rPr>
        <w:t xml:space="preserve">adopted on 11 May 2011, CETS No.: 210 (not yet in force), art 5; </w:t>
      </w:r>
      <w:r w:rsidRPr="0060058F">
        <w:rPr>
          <w:rFonts w:cs="Arial"/>
          <w:i/>
        </w:rPr>
        <w:t>Inter-American Convention on the Prevention, Punishment and Eradication of Violence against Women (Convention of Belém Do Pará)</w:t>
      </w:r>
      <w:r w:rsidRPr="0060058F">
        <w:rPr>
          <w:rFonts w:cs="Arial"/>
        </w:rPr>
        <w:t xml:space="preserve">, </w:t>
      </w:r>
      <w:r w:rsidRPr="0060058F">
        <w:rPr>
          <w:rFonts w:cs="Arial"/>
          <w:bCs/>
        </w:rPr>
        <w:t xml:space="preserve">adopted 9 June 1994 </w:t>
      </w:r>
      <w:r w:rsidRPr="0060058F">
        <w:rPr>
          <w:rFonts w:cs="Arial"/>
        </w:rPr>
        <w:t xml:space="preserve">(entered in force 5 March 1995), art 7(b); IACHR, Case 12.051, Report No. 54/01, </w:t>
      </w:r>
      <w:r w:rsidRPr="0060058F">
        <w:rPr>
          <w:rFonts w:cs="Arial"/>
          <w:i/>
        </w:rPr>
        <w:t xml:space="preserve">Maria Da Penha Maia Fernandes v Brazil, </w:t>
      </w:r>
      <w:r w:rsidRPr="0060058F">
        <w:rPr>
          <w:rFonts w:cs="Arial"/>
        </w:rPr>
        <w:t xml:space="preserve">Annual Report, 2000, OEA/Ser.L/V.II.111 Doc.20 rev. (2000).  See also </w:t>
      </w:r>
      <w:r w:rsidRPr="0060058F">
        <w:rPr>
          <w:rFonts w:cs="Arial"/>
          <w:i/>
        </w:rPr>
        <w:t>The Due Diligence Standard as a Tool for the Elimination of Violence against Women</w:t>
      </w:r>
      <w:r w:rsidRPr="0060058F">
        <w:rPr>
          <w:rFonts w:cs="Arial"/>
        </w:rPr>
        <w:t>,</w:t>
      </w:r>
      <w:r w:rsidRPr="0060058F">
        <w:rPr>
          <w:rFonts w:cs="Arial"/>
          <w:i/>
        </w:rPr>
        <w:t xml:space="preserve"> </w:t>
      </w:r>
      <w:r w:rsidRPr="0060058F">
        <w:rPr>
          <w:rFonts w:cs="Arial"/>
        </w:rPr>
        <w:t>Report of the UN Special Rapporteur on violence against women, its causes and consequences, UN Doc E/CN.4/2006/61 (20 January 2006).</w:t>
      </w:r>
    </w:p>
  </w:footnote>
  <w:footnote w:id="43">
    <w:p w:rsidR="0099452E" w:rsidRPr="0060058F" w:rsidRDefault="0099452E" w:rsidP="000F2D4A">
      <w:pPr>
        <w:pStyle w:val="FootnoteText"/>
        <w:rPr>
          <w:rFonts w:cs="Arial"/>
        </w:rPr>
      </w:pPr>
      <w:r w:rsidRPr="0060058F">
        <w:rPr>
          <w:rStyle w:val="FootnoteReference"/>
          <w:rFonts w:cs="Arial"/>
        </w:rPr>
        <w:footnoteRef/>
      </w:r>
      <w:r w:rsidRPr="0060058F">
        <w:rPr>
          <w:rFonts w:cs="Arial"/>
        </w:rPr>
        <w:t xml:space="preserve"> Committee on the Elimination of Discrimination against Women, </w:t>
      </w:r>
      <w:r w:rsidRPr="0060058F">
        <w:rPr>
          <w:rFonts w:cs="Arial"/>
          <w:i/>
        </w:rPr>
        <w:t>General Recommendation No 19: Violence</w:t>
      </w:r>
      <w:r w:rsidRPr="0060058F">
        <w:rPr>
          <w:rFonts w:cs="Arial"/>
        </w:rPr>
        <w:t>, 11</w:t>
      </w:r>
      <w:r w:rsidRPr="0060058F">
        <w:rPr>
          <w:rFonts w:cs="Arial"/>
          <w:vertAlign w:val="superscript"/>
        </w:rPr>
        <w:t>th</w:t>
      </w:r>
      <w:r w:rsidRPr="0060058F">
        <w:rPr>
          <w:rFonts w:cs="Arial"/>
        </w:rPr>
        <w:t xml:space="preserve"> sess, UN Doc A/47/38 at 1 (1993) (‘</w:t>
      </w:r>
      <w:r w:rsidRPr="0060058F">
        <w:rPr>
          <w:rFonts w:cs="Arial"/>
          <w:i/>
        </w:rPr>
        <w:t>General Recommendation No 19</w:t>
      </w:r>
      <w:r w:rsidRPr="0060058F">
        <w:rPr>
          <w:rFonts w:cs="Arial"/>
        </w:rPr>
        <w:t>’)</w:t>
      </w:r>
      <w:r w:rsidRPr="005C5E4A">
        <w:rPr>
          <w:rFonts w:cs="Arial"/>
          <w:color w:val="auto"/>
        </w:rPr>
        <w:t>,</w:t>
      </w:r>
      <w:r w:rsidRPr="0060058F">
        <w:rPr>
          <w:rFonts w:cs="Arial"/>
        </w:rPr>
        <w:t xml:space="preserve">.   See also Committee on the Elimination of Discrimination against Women, </w:t>
      </w:r>
      <w:r w:rsidRPr="0060058F">
        <w:rPr>
          <w:rFonts w:cs="Arial"/>
          <w:i/>
        </w:rPr>
        <w:t>General Recommendation No 28</w:t>
      </w:r>
      <w:r w:rsidRPr="0060058F">
        <w:rPr>
          <w:rFonts w:cs="Arial"/>
        </w:rPr>
        <w:t xml:space="preserve"> </w:t>
      </w:r>
      <w:r w:rsidRPr="0060058F">
        <w:rPr>
          <w:rFonts w:cs="Arial"/>
          <w:i/>
        </w:rPr>
        <w:t>on the Core Obligations of States Parties under Article 2 of the Convention on the Elimination of All Forms of Discrimination against Women</w:t>
      </w:r>
      <w:r w:rsidRPr="0060058F">
        <w:rPr>
          <w:rFonts w:cs="Arial"/>
        </w:rPr>
        <w:t>, 47</w:t>
      </w:r>
      <w:r w:rsidRPr="0060058F">
        <w:rPr>
          <w:rFonts w:cs="Arial"/>
          <w:vertAlign w:val="superscript"/>
        </w:rPr>
        <w:t>th</w:t>
      </w:r>
      <w:r w:rsidRPr="0060058F">
        <w:rPr>
          <w:rFonts w:cs="Arial"/>
        </w:rPr>
        <w:t xml:space="preserve"> sess, UN Doc CEDAW/C/GC/28 (16 December 2010)</w:t>
      </w:r>
      <w:r>
        <w:rPr>
          <w:rFonts w:cs="Arial"/>
        </w:rPr>
        <w:t>,</w:t>
      </w:r>
      <w:r w:rsidRPr="0060058F">
        <w:rPr>
          <w:rFonts w:cs="Arial"/>
        </w:rPr>
        <w:t xml:space="preserve"> CEDAW Committee, </w:t>
      </w:r>
      <w:r w:rsidRPr="0060058F">
        <w:rPr>
          <w:rFonts w:cs="Arial"/>
          <w:i/>
        </w:rPr>
        <w:t>Views: Communication No</w:t>
      </w:r>
      <w:r w:rsidRPr="0060058F">
        <w:rPr>
          <w:rFonts w:cs="Arial"/>
        </w:rPr>
        <w:t xml:space="preserve"> </w:t>
      </w:r>
      <w:r w:rsidRPr="0060058F">
        <w:rPr>
          <w:rFonts w:cs="Arial"/>
          <w:i/>
        </w:rPr>
        <w:t>20/2008</w:t>
      </w:r>
      <w:r w:rsidRPr="0060058F">
        <w:rPr>
          <w:rFonts w:cs="Arial"/>
        </w:rPr>
        <w:t>, 49</w:t>
      </w:r>
      <w:r w:rsidRPr="0060058F">
        <w:rPr>
          <w:rFonts w:cs="Arial"/>
          <w:vertAlign w:val="superscript"/>
        </w:rPr>
        <w:t>th</w:t>
      </w:r>
      <w:r w:rsidRPr="0060058F">
        <w:rPr>
          <w:rFonts w:cs="Arial"/>
        </w:rPr>
        <w:t xml:space="preserve"> sess,</w:t>
      </w:r>
      <w:r w:rsidRPr="0060058F">
        <w:rPr>
          <w:rFonts w:cs="Arial"/>
          <w:i/>
        </w:rPr>
        <w:t xml:space="preserve"> </w:t>
      </w:r>
      <w:r w:rsidRPr="0060058F">
        <w:rPr>
          <w:rFonts w:cs="Arial"/>
        </w:rPr>
        <w:t>UN Doc CEDAW/C/49/D/20/2008 (17 August 2011) (‘</w:t>
      </w:r>
      <w:r w:rsidRPr="0060058F">
        <w:rPr>
          <w:rFonts w:cs="Arial"/>
          <w:i/>
        </w:rPr>
        <w:t>V.K. v Bulgaria’</w:t>
      </w:r>
      <w:r w:rsidRPr="0060058F">
        <w:rPr>
          <w:rFonts w:cs="Arial"/>
        </w:rPr>
        <w:t xml:space="preserve">); CEDAW Committee, </w:t>
      </w:r>
      <w:r w:rsidRPr="0060058F">
        <w:rPr>
          <w:rFonts w:cs="Arial"/>
          <w:i/>
        </w:rPr>
        <w:t>Views: Communication No 6/2005</w:t>
      </w:r>
      <w:r w:rsidRPr="0060058F">
        <w:rPr>
          <w:rFonts w:cs="Arial"/>
        </w:rPr>
        <w:t>, 39</w:t>
      </w:r>
      <w:r w:rsidRPr="0060058F">
        <w:rPr>
          <w:rFonts w:cs="Arial"/>
          <w:vertAlign w:val="superscript"/>
        </w:rPr>
        <w:t>th</w:t>
      </w:r>
      <w:r w:rsidRPr="0060058F">
        <w:rPr>
          <w:rFonts w:cs="Arial"/>
        </w:rPr>
        <w:t xml:space="preserve"> sess, UN Doc CEDAW/C/39/D/6/2005 (1 October 2007) (‘</w:t>
      </w:r>
      <w:r w:rsidRPr="0060058F">
        <w:rPr>
          <w:rFonts w:cs="Arial"/>
          <w:i/>
        </w:rPr>
        <w:t>Fatma Yildirim v Austria</w:t>
      </w:r>
      <w:r w:rsidRPr="0060058F">
        <w:rPr>
          <w:rFonts w:cs="Arial"/>
        </w:rPr>
        <w:t xml:space="preserve">’); CEDAW Committee, </w:t>
      </w:r>
      <w:r w:rsidRPr="0060058F">
        <w:rPr>
          <w:rFonts w:cs="Arial"/>
          <w:i/>
        </w:rPr>
        <w:t>Views: Communication No 5/2005</w:t>
      </w:r>
      <w:r w:rsidRPr="0060058F">
        <w:rPr>
          <w:rFonts w:cs="Arial"/>
        </w:rPr>
        <w:t>, 39</w:t>
      </w:r>
      <w:r w:rsidRPr="0060058F">
        <w:rPr>
          <w:rFonts w:cs="Arial"/>
          <w:vertAlign w:val="superscript"/>
        </w:rPr>
        <w:t>th</w:t>
      </w:r>
      <w:r w:rsidRPr="0060058F">
        <w:rPr>
          <w:rFonts w:cs="Arial"/>
        </w:rPr>
        <w:t xml:space="preserve"> sess, UN Doc CEDAW/C/39/D/5/2005 (6 August 2007) (‘</w:t>
      </w:r>
      <w:r w:rsidRPr="0060058F">
        <w:rPr>
          <w:rFonts w:cs="Arial"/>
          <w:i/>
        </w:rPr>
        <w:t>Şahide Goekce v Austria</w:t>
      </w:r>
      <w:r w:rsidRPr="0060058F">
        <w:rPr>
          <w:rFonts w:cs="Arial"/>
        </w:rPr>
        <w:t xml:space="preserve">’); CEDAW Committee, </w:t>
      </w:r>
      <w:r w:rsidRPr="0060058F">
        <w:rPr>
          <w:rFonts w:cs="Arial"/>
          <w:i/>
        </w:rPr>
        <w:t>Views: Communication No 2/2003</w:t>
      </w:r>
      <w:r w:rsidRPr="0060058F">
        <w:rPr>
          <w:rFonts w:cs="Arial"/>
        </w:rPr>
        <w:t>, 32</w:t>
      </w:r>
      <w:r w:rsidRPr="0060058F">
        <w:rPr>
          <w:rFonts w:cs="Arial"/>
          <w:vertAlign w:val="superscript"/>
        </w:rPr>
        <w:t>nd</w:t>
      </w:r>
      <w:r w:rsidRPr="0060058F">
        <w:rPr>
          <w:rFonts w:cs="Arial"/>
        </w:rPr>
        <w:t xml:space="preserve"> sess, UN Doc. CEDAW/C/32/D/2/2003 (26 January 2005) (‘</w:t>
      </w:r>
      <w:r w:rsidRPr="0060058F">
        <w:rPr>
          <w:rFonts w:cs="Arial"/>
          <w:i/>
        </w:rPr>
        <w:t>A.T. v Hungary</w:t>
      </w:r>
      <w:r w:rsidRPr="0060058F">
        <w:rPr>
          <w:rFonts w:cs="Arial"/>
        </w:rPr>
        <w:t xml:space="preserve">’); </w:t>
      </w:r>
      <w:r w:rsidRPr="0060058F">
        <w:rPr>
          <w:rFonts w:cs="Arial"/>
          <w:i/>
        </w:rPr>
        <w:t>Report on Mexico Produced by the Committee on the Elimination of Discrimination Against Women Under Article 8 of the Optional Protocol to the Convention, and Reply from the Government of Mexico,</w:t>
      </w:r>
      <w:r w:rsidRPr="0060058F">
        <w:rPr>
          <w:rFonts w:cs="Arial"/>
        </w:rPr>
        <w:t xml:space="preserve"> CEDAW, 32</w:t>
      </w:r>
      <w:r w:rsidRPr="0060058F">
        <w:rPr>
          <w:rFonts w:cs="Arial"/>
          <w:vertAlign w:val="superscript"/>
        </w:rPr>
        <w:t>nd</w:t>
      </w:r>
      <w:r w:rsidRPr="0060058F">
        <w:rPr>
          <w:rFonts w:cs="Arial"/>
        </w:rPr>
        <w:t xml:space="preserve"> sess, UN Doc CEDAW/C/2005/OP.8/MEXICO (27 January 2005) </w:t>
      </w:r>
      <w:r>
        <w:rPr>
          <w:rFonts w:cs="Arial"/>
        </w:rPr>
        <w:t>(</w:t>
      </w:r>
      <w:r w:rsidRPr="0060058F">
        <w:rPr>
          <w:rFonts w:cs="Arial"/>
          <w:i/>
        </w:rPr>
        <w:t>Ciudad Juárez Inquiry</w:t>
      </w:r>
      <w:r>
        <w:rPr>
          <w:rFonts w:cs="Arial"/>
        </w:rPr>
        <w:t>)</w:t>
      </w:r>
      <w:r w:rsidRPr="0060058F">
        <w:rPr>
          <w:rFonts w:cs="Arial"/>
        </w:rPr>
        <w:t>.</w:t>
      </w:r>
    </w:p>
  </w:footnote>
  <w:footnote w:id="44">
    <w:p w:rsidR="0099452E" w:rsidRPr="0060058F" w:rsidRDefault="0099452E" w:rsidP="000F2D4A">
      <w:pPr>
        <w:pStyle w:val="FootnoteText"/>
        <w:rPr>
          <w:rFonts w:cs="Arial"/>
        </w:rPr>
      </w:pPr>
      <w:r w:rsidRPr="0060058F">
        <w:rPr>
          <w:rStyle w:val="FootnoteReference"/>
          <w:rFonts w:cs="Arial"/>
        </w:rPr>
        <w:footnoteRef/>
      </w:r>
      <w:r w:rsidRPr="0060058F">
        <w:rPr>
          <w:rFonts w:cs="Arial"/>
        </w:rPr>
        <w:t xml:space="preserve"> Andrew Byrnes, ‘Article 2’ in Marsha A. Freeman, Christine Chinkin and Beate Rudolf (eds), </w:t>
      </w:r>
      <w:r w:rsidRPr="0060058F">
        <w:rPr>
          <w:rFonts w:cs="Arial"/>
          <w:i/>
        </w:rPr>
        <w:t xml:space="preserve">The UN Convention on the Elimination of All Forms of Discrimination against Women: A Commentary </w:t>
      </w:r>
      <w:r w:rsidRPr="0060058F">
        <w:rPr>
          <w:rFonts w:cs="Arial"/>
        </w:rPr>
        <w:t>(Oxford University Press, 2012) 71, 88.</w:t>
      </w:r>
    </w:p>
  </w:footnote>
  <w:footnote w:id="45">
    <w:p w:rsidR="0099452E" w:rsidRPr="0060058F" w:rsidRDefault="0099452E" w:rsidP="000F2D4A">
      <w:pPr>
        <w:pStyle w:val="FootnoteText"/>
        <w:rPr>
          <w:rFonts w:cs="Arial"/>
        </w:rPr>
      </w:pPr>
      <w:r w:rsidRPr="0060058F">
        <w:rPr>
          <w:rStyle w:val="FootnoteReference"/>
          <w:rFonts w:cs="Arial"/>
        </w:rPr>
        <w:footnoteRef/>
      </w:r>
      <w:r w:rsidRPr="0060058F">
        <w:rPr>
          <w:rFonts w:cs="Arial"/>
        </w:rPr>
        <w:t xml:space="preserve"> See, eg, </w:t>
      </w:r>
      <w:r>
        <w:rPr>
          <w:rFonts w:cs="Arial"/>
        </w:rPr>
        <w:t xml:space="preserve">European Court of Human Rights, </w:t>
      </w:r>
      <w:r w:rsidRPr="004F36E1">
        <w:rPr>
          <w:rFonts w:cs="Arial"/>
          <w:i/>
        </w:rPr>
        <w:t>Opuz v Turkey</w:t>
      </w:r>
      <w:r w:rsidRPr="004F36E1">
        <w:rPr>
          <w:rFonts w:cs="Arial"/>
        </w:rPr>
        <w:t xml:space="preserve"> [2009] ECHR 33401/02</w:t>
      </w:r>
      <w:r>
        <w:rPr>
          <w:rFonts w:cs="Arial"/>
        </w:rPr>
        <w:t xml:space="preserve"> </w:t>
      </w:r>
      <w:r w:rsidRPr="00D94FEE">
        <w:rPr>
          <w:rFonts w:cs="Arial"/>
        </w:rPr>
        <w:t>(</w:t>
      </w:r>
      <w:r w:rsidRPr="0060058F">
        <w:rPr>
          <w:rFonts w:cs="Arial"/>
        </w:rPr>
        <w:t>Application No 33401/02, 9 June 2009</w:t>
      </w:r>
      <w:r>
        <w:rPr>
          <w:rFonts w:cs="Arial"/>
        </w:rPr>
        <w:t>)</w:t>
      </w:r>
      <w:r w:rsidRPr="0060058F">
        <w:rPr>
          <w:rFonts w:cs="Arial"/>
        </w:rPr>
        <w:t xml:space="preserve">[150]; </w:t>
      </w:r>
      <w:r w:rsidRPr="0060058F">
        <w:rPr>
          <w:rFonts w:cs="Arial"/>
          <w:i/>
        </w:rPr>
        <w:t>González et al (‘Cotton Field’) v Mexico</w:t>
      </w:r>
      <w:r w:rsidRPr="0060058F">
        <w:rPr>
          <w:rFonts w:cs="Arial"/>
        </w:rPr>
        <w:t xml:space="preserve"> (Inter-American Court of Human Rights, Ser C No 205, 16 November 2009) [289].</w:t>
      </w:r>
    </w:p>
  </w:footnote>
  <w:footnote w:id="46">
    <w:p w:rsidR="0099452E" w:rsidRPr="0060058F" w:rsidRDefault="0099452E" w:rsidP="00B25D1E">
      <w:pPr>
        <w:pStyle w:val="FootnoteText"/>
        <w:rPr>
          <w:rFonts w:cs="Arial"/>
        </w:rPr>
      </w:pPr>
      <w:r w:rsidRPr="0060058F">
        <w:rPr>
          <w:rStyle w:val="FootnoteReference"/>
          <w:rFonts w:cs="Arial"/>
        </w:rPr>
        <w:footnoteRef/>
      </w:r>
      <w:r w:rsidRPr="0060058F">
        <w:rPr>
          <w:rFonts w:cs="Arial"/>
        </w:rPr>
        <w:t xml:space="preserve"> CEDAW Committee, </w:t>
      </w:r>
      <w:r w:rsidRPr="0060058F">
        <w:rPr>
          <w:rFonts w:cs="Arial"/>
          <w:i/>
        </w:rPr>
        <w:t>Views: Communication No 2/2003</w:t>
      </w:r>
      <w:r w:rsidRPr="0060058F">
        <w:rPr>
          <w:rFonts w:cs="Arial"/>
        </w:rPr>
        <w:t>, 32</w:t>
      </w:r>
      <w:r w:rsidRPr="0060058F">
        <w:rPr>
          <w:rFonts w:cs="Arial"/>
          <w:vertAlign w:val="superscript"/>
        </w:rPr>
        <w:t>nd</w:t>
      </w:r>
      <w:r w:rsidRPr="0060058F">
        <w:rPr>
          <w:rFonts w:cs="Arial"/>
        </w:rPr>
        <w:t xml:space="preserve"> sess, UN Doc. CEDAW/C/32/D/2/2003 (26 January 2005) (‘</w:t>
      </w:r>
      <w:r w:rsidRPr="0060058F">
        <w:rPr>
          <w:rFonts w:cs="Arial"/>
          <w:i/>
        </w:rPr>
        <w:t>A.T. v Hungary</w:t>
      </w:r>
      <w:r w:rsidRPr="0060058F">
        <w:rPr>
          <w:rFonts w:cs="Arial"/>
        </w:rPr>
        <w:t xml:space="preserve">’).  See also </w:t>
      </w:r>
      <w:r w:rsidRPr="0060058F">
        <w:rPr>
          <w:rFonts w:cs="Arial"/>
          <w:i/>
        </w:rPr>
        <w:t xml:space="preserve">Ciudad Juárez Inquiry, </w:t>
      </w:r>
      <w:r w:rsidRPr="0060058F">
        <w:rPr>
          <w:rFonts w:cs="Arial"/>
        </w:rPr>
        <w:t>UN Doc CEDAW/C/2005/OP.8/MEXICO, [271]-[286].</w:t>
      </w:r>
    </w:p>
  </w:footnote>
  <w:footnote w:id="47">
    <w:p w:rsidR="0099452E" w:rsidRDefault="0099452E">
      <w:pPr>
        <w:pStyle w:val="FootnoteText"/>
      </w:pPr>
      <w:r>
        <w:rPr>
          <w:rStyle w:val="FootnoteReference"/>
        </w:rPr>
        <w:footnoteRef/>
      </w:r>
      <w:r>
        <w:t xml:space="preserve"> </w:t>
      </w:r>
      <w:r w:rsidRPr="0060058F">
        <w:rPr>
          <w:rFonts w:cs="Arial"/>
        </w:rPr>
        <w:t xml:space="preserve">CEDAW Committee, </w:t>
      </w:r>
      <w:r w:rsidRPr="0060058F">
        <w:rPr>
          <w:rFonts w:cs="Arial"/>
          <w:i/>
        </w:rPr>
        <w:t>Views: Communication No 2/2003</w:t>
      </w:r>
      <w:r w:rsidRPr="0060058F">
        <w:rPr>
          <w:rFonts w:cs="Arial"/>
        </w:rPr>
        <w:t>, 32</w:t>
      </w:r>
      <w:r w:rsidRPr="0060058F">
        <w:rPr>
          <w:rFonts w:cs="Arial"/>
          <w:vertAlign w:val="superscript"/>
        </w:rPr>
        <w:t>nd</w:t>
      </w:r>
      <w:r w:rsidRPr="0060058F">
        <w:rPr>
          <w:rFonts w:cs="Arial"/>
        </w:rPr>
        <w:t xml:space="preserve"> sess, UN Doc. CEDAW/C/32/D/2/2003 (26 January 2005) (‘</w:t>
      </w:r>
      <w:r w:rsidRPr="0060058F">
        <w:rPr>
          <w:rFonts w:cs="Arial"/>
          <w:i/>
        </w:rPr>
        <w:t>A.T. v Hungary</w:t>
      </w:r>
      <w:r w:rsidRPr="0060058F">
        <w:rPr>
          <w:rFonts w:cs="Arial"/>
        </w:rPr>
        <w:t>’)</w:t>
      </w:r>
      <w:r>
        <w:rPr>
          <w:rFonts w:cs="Arial"/>
        </w:rPr>
        <w:t xml:space="preserve">, </w:t>
      </w:r>
      <w:r>
        <w:t>p 12</w:t>
      </w:r>
    </w:p>
  </w:footnote>
  <w:footnote w:id="48">
    <w:p w:rsidR="0099452E" w:rsidRPr="0060058F" w:rsidRDefault="0099452E" w:rsidP="003E3421">
      <w:pPr>
        <w:pStyle w:val="FootnoteText"/>
        <w:rPr>
          <w:rFonts w:cs="Arial"/>
        </w:rPr>
      </w:pPr>
      <w:r w:rsidRPr="0060058F">
        <w:rPr>
          <w:rStyle w:val="FootnoteReference"/>
          <w:rFonts w:cs="Arial"/>
        </w:rPr>
        <w:footnoteRef/>
      </w:r>
      <w:r w:rsidRPr="0060058F">
        <w:rPr>
          <w:rFonts w:cs="Arial"/>
        </w:rPr>
        <w:t xml:space="preserve"> </w:t>
      </w:r>
      <w:r w:rsidRPr="0060058F">
        <w:rPr>
          <w:rFonts w:cs="Arial"/>
          <w:i/>
        </w:rPr>
        <w:t>González et al (‘Cotton Field’) v Mexico</w:t>
      </w:r>
      <w:r w:rsidRPr="0060058F">
        <w:rPr>
          <w:rFonts w:cs="Arial"/>
        </w:rPr>
        <w:t xml:space="preserve">, above n 5, [290]-[293] (citations omitted).  See also </w:t>
      </w:r>
      <w:r w:rsidRPr="0060058F">
        <w:rPr>
          <w:rFonts w:cs="Arial"/>
          <w:i/>
        </w:rPr>
        <w:t>Ana, Beatriz and Celia González Pérez</w:t>
      </w:r>
      <w:r w:rsidRPr="0060058F">
        <w:rPr>
          <w:rFonts w:cs="Arial"/>
        </w:rPr>
        <w:t xml:space="preserve"> (México) (Inter-American Commission on Human Rights, Report No 53/01,  Case 11.565, April 4, 2001) [84]-[88]; Inter-American Commission on Human Rights, </w:t>
      </w:r>
      <w:r w:rsidRPr="0060058F">
        <w:rPr>
          <w:rFonts w:cs="Arial"/>
          <w:i/>
        </w:rPr>
        <w:t>The Situation of the Rights of Women in Ciudad Juárez, Mexico: The Right to be Free from Violence and Discrimination,</w:t>
      </w:r>
      <w:r w:rsidRPr="0060058F">
        <w:rPr>
          <w:rFonts w:cs="Arial"/>
        </w:rPr>
        <w:t xml:space="preserve"> OEA/Ser.L/V/II.117, Doc. 44 (2003) [132]. </w:t>
      </w:r>
    </w:p>
  </w:footnote>
  <w:footnote w:id="49">
    <w:p w:rsidR="0099452E" w:rsidRPr="0060058F" w:rsidRDefault="0099452E" w:rsidP="003E3421">
      <w:pPr>
        <w:pStyle w:val="FootnoteText"/>
        <w:rPr>
          <w:rFonts w:cs="Arial"/>
        </w:rPr>
      </w:pPr>
      <w:r w:rsidRPr="0060058F">
        <w:rPr>
          <w:rStyle w:val="FootnoteReference"/>
          <w:rFonts w:cs="Arial"/>
        </w:rPr>
        <w:footnoteRef/>
      </w:r>
      <w:r w:rsidRPr="0060058F">
        <w:rPr>
          <w:rFonts w:cs="Arial"/>
        </w:rPr>
        <w:t xml:space="preserve"> See generally </w:t>
      </w:r>
      <w:r w:rsidRPr="0060058F">
        <w:rPr>
          <w:rFonts w:cs="Arial"/>
          <w:i/>
        </w:rPr>
        <w:t xml:space="preserve">Principles on the Effective Prevention and Investigation of Extra-legal, Arbitrary and Summary Executions, </w:t>
      </w:r>
      <w:r w:rsidRPr="0060058F">
        <w:rPr>
          <w:rFonts w:cs="Arial"/>
        </w:rPr>
        <w:t xml:space="preserve">ECOSOC Res 1989/65 of 24 May 1989.  At: </w:t>
      </w:r>
      <w:hyperlink r:id="rId2" w:history="1">
        <w:r w:rsidRPr="0060058F">
          <w:rPr>
            <w:rStyle w:val="Hyperlink"/>
            <w:rFonts w:cs="Arial"/>
          </w:rPr>
          <w:t>http://www2.ohchr.org/english/law/executions.htm</w:t>
        </w:r>
      </w:hyperlink>
      <w:r>
        <w:rPr>
          <w:rFonts w:cs="Arial"/>
        </w:rPr>
        <w:t>.</w:t>
      </w:r>
    </w:p>
  </w:footnote>
  <w:footnote w:id="50">
    <w:p w:rsidR="0099452E" w:rsidRPr="0060058F" w:rsidRDefault="0099452E" w:rsidP="003E3421">
      <w:pPr>
        <w:pStyle w:val="FootnoteText"/>
        <w:rPr>
          <w:rFonts w:cs="Arial"/>
        </w:rPr>
      </w:pPr>
      <w:r w:rsidRPr="0060058F">
        <w:rPr>
          <w:rStyle w:val="FootnoteReference"/>
          <w:rFonts w:cs="Arial"/>
        </w:rPr>
        <w:footnoteRef/>
      </w:r>
      <w:r w:rsidRPr="0060058F">
        <w:rPr>
          <w:rFonts w:cs="Arial"/>
        </w:rPr>
        <w:t xml:space="preserve"> </w:t>
      </w:r>
      <w:r w:rsidRPr="0060058F">
        <w:rPr>
          <w:rFonts w:cs="Arial"/>
          <w:i/>
        </w:rPr>
        <w:t>Hajduová</w:t>
      </w:r>
      <w:r w:rsidRPr="0060058F">
        <w:rPr>
          <w:rFonts w:cs="Arial"/>
        </w:rPr>
        <w:t xml:space="preserve"> </w:t>
      </w:r>
      <w:r w:rsidRPr="0060058F">
        <w:rPr>
          <w:rFonts w:cs="Arial"/>
          <w:i/>
        </w:rPr>
        <w:t xml:space="preserve">v Slovakia </w:t>
      </w:r>
      <w:r w:rsidRPr="0060058F">
        <w:rPr>
          <w:rFonts w:cs="Arial"/>
        </w:rPr>
        <w:t>(European Court of Human Rights, Application No 2660/03, 30 November 2010)</w:t>
      </w:r>
      <w:r w:rsidRPr="0060058F">
        <w:rPr>
          <w:rFonts w:cs="Arial"/>
          <w:i/>
        </w:rPr>
        <w:t xml:space="preserve"> </w:t>
      </w:r>
      <w:r w:rsidRPr="0060058F">
        <w:rPr>
          <w:rFonts w:cs="Arial"/>
        </w:rPr>
        <w:t xml:space="preserve">[50].  See also </w:t>
      </w:r>
      <w:r>
        <w:rPr>
          <w:rFonts w:cs="Arial"/>
        </w:rPr>
        <w:t xml:space="preserve">European Court of Human Rights, </w:t>
      </w:r>
      <w:r w:rsidRPr="004F36E1">
        <w:rPr>
          <w:rFonts w:cs="Arial"/>
          <w:i/>
        </w:rPr>
        <w:t>Opuz v Turkey</w:t>
      </w:r>
      <w:r w:rsidRPr="004F36E1">
        <w:rPr>
          <w:rFonts w:cs="Arial"/>
        </w:rPr>
        <w:t xml:space="preserve"> [2009] ECHR 33401/02</w:t>
      </w:r>
      <w:r>
        <w:rPr>
          <w:rFonts w:cs="Arial"/>
        </w:rPr>
        <w:t xml:space="preserve"> </w:t>
      </w:r>
      <w:r w:rsidRPr="00D94FEE">
        <w:rPr>
          <w:rFonts w:cs="Arial"/>
        </w:rPr>
        <w:t>(</w:t>
      </w:r>
      <w:r w:rsidRPr="0060058F">
        <w:rPr>
          <w:rFonts w:cs="Arial"/>
        </w:rPr>
        <w:t>Application No 33401/02, 9 June 2009</w:t>
      </w:r>
      <w:r>
        <w:rPr>
          <w:rFonts w:cs="Arial"/>
        </w:rPr>
        <w:t>)</w:t>
      </w:r>
      <w:r w:rsidRPr="0060058F">
        <w:rPr>
          <w:rFonts w:cs="Arial"/>
        </w:rPr>
        <w:t xml:space="preserve"> [157].</w:t>
      </w:r>
    </w:p>
  </w:footnote>
  <w:footnote w:id="51">
    <w:p w:rsidR="0099452E" w:rsidRPr="0060058F" w:rsidRDefault="0099452E" w:rsidP="003E3421">
      <w:pPr>
        <w:pStyle w:val="FootnoteText"/>
        <w:rPr>
          <w:rFonts w:cs="Arial"/>
        </w:rPr>
      </w:pPr>
      <w:r w:rsidRPr="0060058F">
        <w:rPr>
          <w:rStyle w:val="FootnoteReference"/>
          <w:rFonts w:cs="Arial"/>
        </w:rPr>
        <w:footnoteRef/>
      </w:r>
      <w:r w:rsidRPr="0060058F">
        <w:rPr>
          <w:rFonts w:cs="Arial"/>
        </w:rPr>
        <w:t xml:space="preserve"> and </w:t>
      </w:r>
      <w:r w:rsidRPr="004F36E1">
        <w:rPr>
          <w:rFonts w:cs="Arial"/>
        </w:rPr>
        <w:t xml:space="preserve">CEDAW Committee, </w:t>
      </w:r>
      <w:r w:rsidRPr="004F36E1">
        <w:rPr>
          <w:rFonts w:cs="Arial"/>
          <w:i/>
        </w:rPr>
        <w:t>Views: Communication No 5/2005</w:t>
      </w:r>
      <w:r w:rsidRPr="004F36E1">
        <w:rPr>
          <w:rFonts w:cs="Arial"/>
        </w:rPr>
        <w:t>, 39</w:t>
      </w:r>
      <w:r w:rsidRPr="004F36E1">
        <w:rPr>
          <w:rFonts w:cs="Arial"/>
          <w:vertAlign w:val="superscript"/>
        </w:rPr>
        <w:t>th</w:t>
      </w:r>
      <w:r w:rsidRPr="004F36E1">
        <w:rPr>
          <w:rFonts w:cs="Arial"/>
        </w:rPr>
        <w:t xml:space="preserve"> sess, UN Doc CEDAW/C/39/D/5/2005 (6 August 2007) (‘</w:t>
      </w:r>
      <w:r w:rsidRPr="004F36E1">
        <w:rPr>
          <w:rFonts w:cs="Arial"/>
          <w:i/>
        </w:rPr>
        <w:t>Şahide Goekce v Austria</w:t>
      </w:r>
      <w:r w:rsidRPr="004F36E1">
        <w:rPr>
          <w:rFonts w:cs="Arial"/>
        </w:rPr>
        <w:t>’).</w:t>
      </w:r>
      <w:r w:rsidRPr="0060058F">
        <w:rPr>
          <w:rFonts w:cs="Arial"/>
        </w:rPr>
        <w:t xml:space="preserve">; [12.3(b)]; </w:t>
      </w:r>
      <w:r>
        <w:rPr>
          <w:rFonts w:cs="Arial"/>
        </w:rPr>
        <w:t xml:space="preserve">European Court of Human Rights, </w:t>
      </w:r>
      <w:r w:rsidRPr="004F36E1">
        <w:rPr>
          <w:rFonts w:cs="Arial"/>
          <w:i/>
        </w:rPr>
        <w:t>Opuz v Turkey</w:t>
      </w:r>
      <w:r w:rsidRPr="004F36E1">
        <w:rPr>
          <w:rFonts w:cs="Arial"/>
        </w:rPr>
        <w:t xml:space="preserve"> [2009] ECHR 33401/02</w:t>
      </w:r>
      <w:r>
        <w:rPr>
          <w:rFonts w:cs="Arial"/>
        </w:rPr>
        <w:t xml:space="preserve"> </w:t>
      </w:r>
      <w:r w:rsidRPr="0060058F">
        <w:rPr>
          <w:rFonts w:cs="Arial"/>
          <w:i/>
        </w:rPr>
        <w:t>Opuz v Turkey</w:t>
      </w:r>
      <w:r>
        <w:rPr>
          <w:rFonts w:cs="Arial"/>
          <w:i/>
        </w:rPr>
        <w:t>,</w:t>
      </w:r>
      <w:r w:rsidRPr="0060058F">
        <w:rPr>
          <w:rFonts w:cs="Arial"/>
        </w:rPr>
        <w:t xml:space="preserve"> Application No 33401/02, 9 June 2009</w:t>
      </w:r>
      <w:r w:rsidRPr="0060058F" w:rsidDel="00753846">
        <w:rPr>
          <w:rFonts w:cs="Arial"/>
          <w:i/>
        </w:rPr>
        <w:t xml:space="preserve"> </w:t>
      </w:r>
      <w:r w:rsidRPr="0060058F">
        <w:rPr>
          <w:rFonts w:cs="Arial"/>
        </w:rPr>
        <w:t xml:space="preserve">[150]; </w:t>
      </w:r>
      <w:r w:rsidRPr="0060058F">
        <w:rPr>
          <w:rFonts w:cs="Arial"/>
          <w:i/>
        </w:rPr>
        <w:t>Jessica Lenahan (Gonzales) et al v United States</w:t>
      </w:r>
      <w:r w:rsidRPr="0060058F">
        <w:rPr>
          <w:rFonts w:cs="Arial"/>
        </w:rPr>
        <w:t xml:space="preserve"> (Inter-American Commission on Human Rights, Report No 80/11, Case 12.626, 21 July 2011) [179].</w:t>
      </w:r>
      <w:r>
        <w:rPr>
          <w:rFonts w:cs="Arial"/>
        </w:rPr>
        <w:t xml:space="preserve"> </w:t>
      </w:r>
    </w:p>
  </w:footnote>
  <w:footnote w:id="52">
    <w:p w:rsidR="0099452E" w:rsidRPr="0060058F" w:rsidRDefault="0099452E" w:rsidP="003E3421">
      <w:pPr>
        <w:pStyle w:val="FootnoteText"/>
        <w:rPr>
          <w:rFonts w:cs="Arial"/>
        </w:rPr>
      </w:pPr>
      <w:r w:rsidRPr="0060058F">
        <w:rPr>
          <w:rStyle w:val="FootnoteReference"/>
          <w:rFonts w:cs="Arial"/>
        </w:rPr>
        <w:footnoteRef/>
      </w:r>
      <w:r w:rsidRPr="0060058F">
        <w:rPr>
          <w:rFonts w:cs="Arial"/>
        </w:rPr>
        <w:t xml:space="preserve"> </w:t>
      </w:r>
      <w:r>
        <w:rPr>
          <w:rFonts w:cs="Arial"/>
        </w:rPr>
        <w:t xml:space="preserve">European Court of Human Rights, </w:t>
      </w:r>
      <w:r w:rsidRPr="004F36E1">
        <w:rPr>
          <w:rFonts w:cs="Arial"/>
          <w:i/>
        </w:rPr>
        <w:t>Opuz v Turkey</w:t>
      </w:r>
      <w:r w:rsidRPr="004F36E1">
        <w:rPr>
          <w:rFonts w:cs="Arial"/>
        </w:rPr>
        <w:t xml:space="preserve"> [2009] ECHR 33401/02</w:t>
      </w:r>
      <w:r>
        <w:rPr>
          <w:rFonts w:cs="Arial"/>
        </w:rPr>
        <w:t xml:space="preserve"> </w:t>
      </w:r>
      <w:r w:rsidRPr="00D94FEE">
        <w:rPr>
          <w:rFonts w:cs="Arial"/>
        </w:rPr>
        <w:t>(</w:t>
      </w:r>
      <w:r w:rsidRPr="0060058F">
        <w:rPr>
          <w:rFonts w:cs="Arial"/>
        </w:rPr>
        <w:t>Application No 33401/02, 9 June 2009</w:t>
      </w:r>
      <w:r>
        <w:rPr>
          <w:rFonts w:cs="Arial"/>
        </w:rPr>
        <w:t>)</w:t>
      </w:r>
      <w:r w:rsidRPr="0060058F">
        <w:rPr>
          <w:rFonts w:cs="Arial"/>
        </w:rPr>
        <w:t>[150].</w:t>
      </w:r>
    </w:p>
  </w:footnote>
  <w:footnote w:id="53">
    <w:p w:rsidR="0099452E" w:rsidRPr="0060058F" w:rsidRDefault="0099452E" w:rsidP="003E3421">
      <w:pPr>
        <w:pStyle w:val="FootnoteText"/>
        <w:rPr>
          <w:rFonts w:cs="Arial"/>
        </w:rPr>
      </w:pPr>
      <w:r w:rsidRPr="0060058F">
        <w:rPr>
          <w:rStyle w:val="FootnoteReference"/>
          <w:rFonts w:cs="Arial"/>
        </w:rPr>
        <w:footnoteRef/>
      </w:r>
      <w:r w:rsidRPr="0060058F">
        <w:rPr>
          <w:rFonts w:cs="Arial"/>
        </w:rPr>
        <w:t xml:space="preserve"> </w:t>
      </w:r>
      <w:r w:rsidRPr="0060058F">
        <w:rPr>
          <w:rFonts w:cs="Arial"/>
          <w:i/>
        </w:rPr>
        <w:t>Jessica Lenahan (Gonzales) et al v United States</w:t>
      </w:r>
      <w:r w:rsidRPr="0060058F">
        <w:rPr>
          <w:rFonts w:cs="Arial"/>
        </w:rPr>
        <w:t xml:space="preserve"> (Inter-American Commission on Human Rights, Report No 80/11, Case 12.626, 21 July 2011) [285].</w:t>
      </w:r>
      <w:r>
        <w:rPr>
          <w:rFonts w:cs="Arial"/>
        </w:rPr>
        <w:t xml:space="preserve">  </w:t>
      </w:r>
    </w:p>
  </w:footnote>
  <w:footnote w:id="54">
    <w:p w:rsidR="0099452E" w:rsidRPr="0060058F" w:rsidRDefault="0099452E" w:rsidP="003E3421">
      <w:pPr>
        <w:pStyle w:val="FootnoteText"/>
        <w:rPr>
          <w:rFonts w:cs="Arial"/>
        </w:rPr>
      </w:pPr>
      <w:r w:rsidRPr="0060058F">
        <w:rPr>
          <w:rStyle w:val="FootnoteReference"/>
          <w:rFonts w:cs="Arial"/>
        </w:rPr>
        <w:footnoteRef/>
      </w:r>
      <w:r w:rsidRPr="0060058F">
        <w:rPr>
          <w:rFonts w:cs="Arial"/>
        </w:rPr>
        <w:t xml:space="preserve"> </w:t>
      </w:r>
      <w:r>
        <w:rPr>
          <w:rFonts w:cs="Arial"/>
        </w:rPr>
        <w:t xml:space="preserve">European Court of Human Rights, </w:t>
      </w:r>
      <w:r w:rsidRPr="004F36E1">
        <w:rPr>
          <w:rFonts w:cs="Arial"/>
          <w:i/>
        </w:rPr>
        <w:t>Opuz v Turkey</w:t>
      </w:r>
      <w:r w:rsidRPr="004F36E1">
        <w:rPr>
          <w:rFonts w:cs="Arial"/>
        </w:rPr>
        <w:t xml:space="preserve"> [2009] ECHR 33401/02</w:t>
      </w:r>
      <w:r>
        <w:rPr>
          <w:rFonts w:cs="Arial"/>
        </w:rPr>
        <w:t xml:space="preserve"> </w:t>
      </w:r>
      <w:r w:rsidRPr="00C27B8A">
        <w:rPr>
          <w:rFonts w:cs="Arial"/>
        </w:rPr>
        <w:t>(</w:t>
      </w:r>
      <w:r w:rsidRPr="0060058F">
        <w:rPr>
          <w:rFonts w:cs="Arial"/>
        </w:rPr>
        <w:t>Application No 33401/02, 9 June 2009</w:t>
      </w:r>
      <w:r>
        <w:rPr>
          <w:rFonts w:cs="Arial"/>
        </w:rPr>
        <w:t>)</w:t>
      </w:r>
      <w:r w:rsidRPr="0060058F" w:rsidDel="00753846">
        <w:rPr>
          <w:rFonts w:cs="Arial"/>
          <w:i/>
        </w:rPr>
        <w:t xml:space="preserve"> </w:t>
      </w:r>
      <w:r w:rsidRPr="0060058F">
        <w:rPr>
          <w:rFonts w:cs="Arial"/>
        </w:rPr>
        <w:t>[129], See also at [130], [136].</w:t>
      </w:r>
    </w:p>
  </w:footnote>
  <w:footnote w:id="55">
    <w:p w:rsidR="0099452E" w:rsidRPr="0060058F" w:rsidRDefault="0099452E" w:rsidP="003E3421">
      <w:pPr>
        <w:pStyle w:val="FootnoteText"/>
        <w:rPr>
          <w:rFonts w:cs="Arial"/>
        </w:rPr>
      </w:pPr>
      <w:r w:rsidRPr="0060058F">
        <w:rPr>
          <w:rStyle w:val="FootnoteReference"/>
          <w:rFonts w:cs="Arial"/>
        </w:rPr>
        <w:footnoteRef/>
      </w:r>
      <w:r w:rsidRPr="0060058F">
        <w:rPr>
          <w:rFonts w:cs="Arial"/>
        </w:rPr>
        <w:t xml:space="preserve"> </w:t>
      </w:r>
      <w:r>
        <w:rPr>
          <w:rFonts w:cs="Arial"/>
        </w:rPr>
        <w:t>ibid</w:t>
      </w:r>
      <w:r w:rsidRPr="0060058F">
        <w:rPr>
          <w:rFonts w:cs="Arial"/>
        </w:rPr>
        <w:t xml:space="preserve"> [130].</w:t>
      </w:r>
    </w:p>
  </w:footnote>
  <w:footnote w:id="56">
    <w:p w:rsidR="0099452E" w:rsidRPr="0060058F" w:rsidRDefault="0099452E" w:rsidP="003E3421">
      <w:pPr>
        <w:pStyle w:val="FootnoteText"/>
        <w:rPr>
          <w:rFonts w:cs="Arial"/>
        </w:rPr>
      </w:pPr>
      <w:r w:rsidRPr="0060058F">
        <w:rPr>
          <w:rStyle w:val="FootnoteReference"/>
          <w:rFonts w:cs="Arial"/>
        </w:rPr>
        <w:footnoteRef/>
      </w:r>
      <w:r w:rsidRPr="0060058F">
        <w:rPr>
          <w:rFonts w:cs="Arial"/>
        </w:rPr>
        <w:t xml:space="preserve"> See generally </w:t>
      </w:r>
      <w:r w:rsidRPr="0060058F">
        <w:rPr>
          <w:rFonts w:cs="Arial"/>
          <w:i/>
        </w:rPr>
        <w:t>Jessica Lenahan (Gonzales) et al v United States</w:t>
      </w:r>
      <w:r w:rsidRPr="0060058F">
        <w:rPr>
          <w:rFonts w:cs="Arial"/>
        </w:rPr>
        <w:t xml:space="preserve"> (Inter-American Commission on Human Rights, Report No 80/11, Case 12.626, 21 July 2011)</w:t>
      </w:r>
      <w:r w:rsidRPr="00234894">
        <w:rPr>
          <w:rFonts w:cs="Arial"/>
          <w:i/>
        </w:rPr>
        <w:t xml:space="preserve"> </w:t>
      </w:r>
      <w:r w:rsidRPr="0060058F">
        <w:rPr>
          <w:rFonts w:cs="Arial"/>
          <w:i/>
        </w:rPr>
        <w:t>Hajduová</w:t>
      </w:r>
      <w:r w:rsidRPr="0060058F">
        <w:rPr>
          <w:rFonts w:cs="Arial"/>
        </w:rPr>
        <w:t xml:space="preserve"> </w:t>
      </w:r>
      <w:r w:rsidRPr="0060058F">
        <w:rPr>
          <w:rFonts w:cs="Arial"/>
          <w:i/>
        </w:rPr>
        <w:t xml:space="preserve">v Slovakia </w:t>
      </w:r>
      <w:r w:rsidRPr="0060058F">
        <w:rPr>
          <w:rFonts w:cs="Arial"/>
        </w:rPr>
        <w:t>(European Court of Human Rights, Application No 2660/03, 30 November 2010)</w:t>
      </w:r>
      <w:r>
        <w:rPr>
          <w:rFonts w:cs="Arial"/>
        </w:rPr>
        <w:t>.</w:t>
      </w:r>
    </w:p>
  </w:footnote>
  <w:footnote w:id="57">
    <w:p w:rsidR="0099452E" w:rsidRPr="0060058F" w:rsidRDefault="0099452E" w:rsidP="003E3421">
      <w:pPr>
        <w:pStyle w:val="FootnoteText"/>
        <w:rPr>
          <w:rFonts w:cs="Arial"/>
        </w:rPr>
      </w:pPr>
      <w:r w:rsidRPr="0060058F">
        <w:rPr>
          <w:rStyle w:val="FootnoteReference"/>
          <w:rFonts w:cs="Arial"/>
        </w:rPr>
        <w:footnoteRef/>
      </w:r>
      <w:r w:rsidRPr="0060058F">
        <w:rPr>
          <w:rFonts w:cs="Arial"/>
        </w:rPr>
        <w:t xml:space="preserve"> Philip Leach, ‘Article 2 ECHR (the right to life) – Positive Obligations’, 2, </w:t>
      </w:r>
      <w:hyperlink r:id="rId3" w:history="1">
        <w:r w:rsidRPr="0060058F">
          <w:rPr>
            <w:rStyle w:val="Hyperlink"/>
            <w:rFonts w:cs="Arial"/>
          </w:rPr>
          <w:t>http://www.londonmet.ac.uk/fms/MRSite/Research/HRSJ/EHRAC/Reports/Art%202%20positive%20obligations%20-%20Law%20Soc%205_11%20PL.pdf</w:t>
        </w:r>
      </w:hyperlink>
      <w:r w:rsidRPr="0060058F">
        <w:rPr>
          <w:rFonts w:cs="Arial"/>
        </w:rPr>
        <w:t xml:space="preserve">.  </w:t>
      </w:r>
      <w:r w:rsidRPr="0060058F">
        <w:rPr>
          <w:rFonts w:cs="Arial"/>
          <w:i/>
        </w:rPr>
        <w:t>Jessica Lenahan (Gonzales) et al v United States</w:t>
      </w:r>
      <w:r w:rsidRPr="0060058F">
        <w:rPr>
          <w:rFonts w:cs="Arial"/>
        </w:rPr>
        <w:t xml:space="preserve"> (Inter-American Commission on Human Rights, Report No 80/11, Case 12.626, 21 July 2011)</w:t>
      </w:r>
      <w:r w:rsidRPr="004F36E1">
        <w:rPr>
          <w:rFonts w:cs="Arial"/>
        </w:rPr>
        <w:t>.</w:t>
      </w:r>
      <w:r w:rsidRPr="0060058F">
        <w:rPr>
          <w:rFonts w:cs="Arial"/>
        </w:rPr>
        <w:t xml:space="preserve">, [290]-[293] (citations omitted); </w:t>
      </w:r>
      <w:r w:rsidRPr="0060058F">
        <w:rPr>
          <w:rFonts w:cs="Arial"/>
          <w:i/>
        </w:rPr>
        <w:t>Ana, Beatriz and Celia González Pérez</w:t>
      </w:r>
      <w:r w:rsidRPr="0060058F">
        <w:rPr>
          <w:rFonts w:cs="Arial"/>
        </w:rPr>
        <w:t xml:space="preserve"> (México) (Inter-American Commission on Human Rights, Report No 53/01,  Case 11.565, April 4, 2001) [84]-[88], [84]-[88]; IACHR, </w:t>
      </w:r>
      <w:r w:rsidRPr="0060058F">
        <w:rPr>
          <w:rFonts w:cs="Arial"/>
          <w:i/>
        </w:rPr>
        <w:t>The Situation of the Rights of Women in Ciudad Juárez, Mexico: The Right to be Free from Violence and Discrimination,</w:t>
      </w:r>
      <w:r w:rsidRPr="0060058F">
        <w:rPr>
          <w:rFonts w:cs="Arial"/>
        </w:rPr>
        <w:t xml:space="preserve"> OEA/Ser.L/V/II.117, Doc. 44 (2003) [132].</w:t>
      </w:r>
    </w:p>
  </w:footnote>
  <w:footnote w:id="58">
    <w:p w:rsidR="0099452E" w:rsidRPr="0060058F" w:rsidRDefault="0099452E" w:rsidP="003E3421">
      <w:pPr>
        <w:pStyle w:val="FootnoteText"/>
        <w:rPr>
          <w:rFonts w:cs="Arial"/>
        </w:rPr>
      </w:pPr>
      <w:r w:rsidRPr="0060058F">
        <w:rPr>
          <w:rStyle w:val="FootnoteReference"/>
          <w:rFonts w:cs="Arial"/>
        </w:rPr>
        <w:footnoteRef/>
      </w:r>
      <w:r w:rsidRPr="0060058F">
        <w:rPr>
          <w:rFonts w:cs="Arial"/>
        </w:rPr>
        <w:t xml:space="preserve"> </w:t>
      </w:r>
      <w:r w:rsidRPr="0060058F">
        <w:rPr>
          <w:rFonts w:cs="Arial"/>
          <w:i/>
        </w:rPr>
        <w:t>Jessica Lenahan (Gonzales) et al v United States</w:t>
      </w:r>
      <w:r w:rsidRPr="0060058F">
        <w:rPr>
          <w:rFonts w:cs="Arial"/>
        </w:rPr>
        <w:t xml:space="preserve"> (Inter-American Commission on Human Rights, Report No 80/11, Case 12.626, 21 July 2011)</w:t>
      </w:r>
      <w:r w:rsidRPr="004F36E1">
        <w:rPr>
          <w:rFonts w:cs="Arial"/>
        </w:rPr>
        <w:t>.</w:t>
      </w:r>
      <w:r w:rsidRPr="0060058F" w:rsidDel="00234894">
        <w:rPr>
          <w:rFonts w:cs="Arial"/>
          <w:i/>
        </w:rPr>
        <w:t xml:space="preserve"> </w:t>
      </w:r>
      <w:r w:rsidRPr="0060058F">
        <w:rPr>
          <w:rFonts w:cs="Arial"/>
        </w:rPr>
        <w:t>[181].</w:t>
      </w:r>
      <w:r>
        <w:rPr>
          <w:rFonts w:cs="Arial"/>
        </w:rPr>
        <w:t xml:space="preserve"> </w:t>
      </w:r>
    </w:p>
  </w:footnote>
  <w:footnote w:id="59">
    <w:p w:rsidR="0099452E" w:rsidRPr="0060058F" w:rsidRDefault="0099452E" w:rsidP="003E3421">
      <w:pPr>
        <w:pStyle w:val="FootnoteText"/>
        <w:rPr>
          <w:rFonts w:cs="Arial"/>
        </w:rPr>
      </w:pPr>
      <w:r w:rsidRPr="0060058F">
        <w:rPr>
          <w:rStyle w:val="FootnoteReference"/>
          <w:rFonts w:cs="Arial"/>
        </w:rPr>
        <w:footnoteRef/>
      </w:r>
      <w:r w:rsidRPr="0060058F">
        <w:rPr>
          <w:rFonts w:cs="Arial"/>
        </w:rPr>
        <w:t xml:space="preserve"> Inter-American Court of Human Rights, </w:t>
      </w:r>
      <w:r w:rsidRPr="0060058F">
        <w:rPr>
          <w:rFonts w:cs="Arial"/>
          <w:i/>
        </w:rPr>
        <w:t>Velásquez Rodríguez v Honduras</w:t>
      </w:r>
      <w:r w:rsidRPr="0060058F">
        <w:rPr>
          <w:rFonts w:cs="Arial"/>
        </w:rPr>
        <w:t xml:space="preserve">, Series C no. 4, Judgment of 29 July 1988, [177].  See also Christine Chinkin, ‘Violence Against Women’ Marsha A. Freeman, Christine Chinkin and Beate Rudolf, </w:t>
      </w:r>
      <w:r w:rsidRPr="0060058F">
        <w:rPr>
          <w:rFonts w:cs="Arial"/>
          <w:i/>
        </w:rPr>
        <w:t xml:space="preserve">The UN Convention on the Elimination of All Forms of Discrimination against Women: A Commentary </w:t>
      </w:r>
      <w:r w:rsidRPr="0060058F">
        <w:rPr>
          <w:rFonts w:cs="Arial"/>
        </w:rPr>
        <w:t xml:space="preserve">(Oxford University Press, 2012) 443, 469. </w:t>
      </w:r>
    </w:p>
  </w:footnote>
  <w:footnote w:id="60">
    <w:p w:rsidR="0099452E" w:rsidRPr="0060058F" w:rsidRDefault="0099452E" w:rsidP="008C0235">
      <w:pPr>
        <w:pStyle w:val="FootnoteText"/>
        <w:rPr>
          <w:rFonts w:cs="Arial"/>
        </w:rPr>
      </w:pPr>
      <w:r w:rsidRPr="0060058F">
        <w:rPr>
          <w:rStyle w:val="FootnoteReference"/>
          <w:rFonts w:cs="Arial"/>
        </w:rPr>
        <w:footnoteRef/>
      </w:r>
      <w:r w:rsidRPr="0060058F">
        <w:rPr>
          <w:rFonts w:cs="Arial"/>
        </w:rPr>
        <w:t xml:space="preserve"> </w:t>
      </w:r>
      <w:r>
        <w:rPr>
          <w:rFonts w:cs="Arial"/>
        </w:rPr>
        <w:t xml:space="preserve">European Court of Human Rights, </w:t>
      </w:r>
      <w:r w:rsidRPr="004F36E1">
        <w:rPr>
          <w:rFonts w:cs="Arial"/>
          <w:i/>
        </w:rPr>
        <w:t>Opuz v Turkey</w:t>
      </w:r>
      <w:r w:rsidRPr="004F36E1">
        <w:rPr>
          <w:rFonts w:cs="Arial"/>
        </w:rPr>
        <w:t xml:space="preserve"> [2009] ECHR 33401/02</w:t>
      </w:r>
      <w:r>
        <w:rPr>
          <w:rFonts w:cs="Arial"/>
        </w:rPr>
        <w:t xml:space="preserve"> </w:t>
      </w:r>
      <w:r w:rsidRPr="00D94FEE">
        <w:rPr>
          <w:rFonts w:cs="Arial"/>
        </w:rPr>
        <w:t>(</w:t>
      </w:r>
      <w:r w:rsidRPr="0060058F">
        <w:rPr>
          <w:rFonts w:cs="Arial"/>
        </w:rPr>
        <w:t>Application No 33401/02, 9 June 2009</w:t>
      </w:r>
      <w:r>
        <w:rPr>
          <w:rFonts w:cs="Arial"/>
        </w:rPr>
        <w:t>)</w:t>
      </w:r>
      <w:r w:rsidRPr="0060058F" w:rsidDel="00753846">
        <w:rPr>
          <w:rFonts w:cs="Arial"/>
          <w:i/>
        </w:rPr>
        <w:t xml:space="preserve"> </w:t>
      </w:r>
      <w:r w:rsidRPr="0060058F">
        <w:rPr>
          <w:rFonts w:cs="Arial"/>
        </w:rPr>
        <w:t>[148].</w:t>
      </w:r>
    </w:p>
  </w:footnote>
  <w:footnote w:id="61">
    <w:p w:rsidR="0099452E" w:rsidRPr="0060058F" w:rsidRDefault="0099452E" w:rsidP="008C0235">
      <w:pPr>
        <w:pStyle w:val="FootnoteText"/>
        <w:rPr>
          <w:rFonts w:cs="Arial"/>
        </w:rPr>
      </w:pPr>
      <w:r w:rsidRPr="0060058F">
        <w:rPr>
          <w:rStyle w:val="FootnoteReference"/>
          <w:rFonts w:cs="Arial"/>
        </w:rPr>
        <w:footnoteRef/>
      </w:r>
      <w:r w:rsidRPr="0060058F">
        <w:rPr>
          <w:rFonts w:cs="Arial"/>
        </w:rPr>
        <w:t xml:space="preserve"> </w:t>
      </w:r>
      <w:r>
        <w:rPr>
          <w:rFonts w:cs="Arial"/>
        </w:rPr>
        <w:t>Ibid</w:t>
      </w:r>
      <w:r w:rsidRPr="0060058F">
        <w:rPr>
          <w:rFonts w:cs="Arial"/>
        </w:rPr>
        <w:t>[195]-[197].</w:t>
      </w:r>
      <w:r>
        <w:rPr>
          <w:rFonts w:cs="Arial"/>
        </w:rPr>
        <w:t xml:space="preserve"> </w:t>
      </w:r>
    </w:p>
  </w:footnote>
  <w:footnote w:id="62">
    <w:p w:rsidR="0099452E" w:rsidRPr="0060058F" w:rsidRDefault="0099452E" w:rsidP="008C0235">
      <w:pPr>
        <w:pStyle w:val="FootnoteText"/>
        <w:rPr>
          <w:rFonts w:cs="Arial"/>
        </w:rPr>
      </w:pPr>
      <w:r w:rsidRPr="0060058F">
        <w:rPr>
          <w:rStyle w:val="FootnoteReference"/>
          <w:rFonts w:cs="Arial"/>
        </w:rPr>
        <w:footnoteRef/>
      </w:r>
      <w:r w:rsidRPr="0060058F">
        <w:rPr>
          <w:rFonts w:cs="Arial"/>
        </w:rPr>
        <w:t xml:space="preserve"> UNSRVAW</w:t>
      </w:r>
      <w:r>
        <w:rPr>
          <w:rFonts w:cs="Arial"/>
        </w:rPr>
        <w:t xml:space="preserve"> United Nations Special Rapporteur on the Violence Against Women</w:t>
      </w:r>
      <w:r w:rsidRPr="0060058F">
        <w:rPr>
          <w:rFonts w:cs="Arial"/>
        </w:rPr>
        <w:t xml:space="preserve"> guidelines; </w:t>
      </w:r>
      <w:r w:rsidRPr="00710473">
        <w:rPr>
          <w:rFonts w:cs="Arial"/>
          <w:i/>
        </w:rPr>
        <w:t>Jessica Lenahan (Gonzales) et al v United States (Inter-American Commission on Human Rights, Report No 80/11, Case 12.626, 21 July 2011).</w:t>
      </w:r>
      <w:r w:rsidRPr="0060058F">
        <w:rPr>
          <w:rFonts w:cs="Arial"/>
        </w:rPr>
        <w:t xml:space="preserve">, [285]; </w:t>
      </w:r>
      <w:r w:rsidRPr="00710473">
        <w:rPr>
          <w:rFonts w:cs="Arial"/>
          <w:i/>
        </w:rPr>
        <w:t>Inter-American Commission on Human Rights, The Situation of the Rights of Women in Ciudad Juárez, Mexico: The Right to be Free from Violence and Discrimination, OEA/Ser.L/V/II.117, Doc. 44</w:t>
      </w:r>
      <w:r w:rsidRPr="00710473" w:rsidDel="00710473">
        <w:rPr>
          <w:rFonts w:cs="Arial"/>
          <w:i/>
        </w:rPr>
        <w:t xml:space="preserve"> </w:t>
      </w:r>
      <w:r w:rsidRPr="0060058F">
        <w:rPr>
          <w:rFonts w:cs="Arial"/>
        </w:rPr>
        <w:t>[276].</w:t>
      </w:r>
    </w:p>
  </w:footnote>
  <w:footnote w:id="63">
    <w:p w:rsidR="0099452E" w:rsidRPr="0060058F" w:rsidRDefault="0099452E" w:rsidP="008C0235">
      <w:pPr>
        <w:pStyle w:val="FootnoteText"/>
        <w:rPr>
          <w:rFonts w:cs="Arial"/>
        </w:rPr>
      </w:pPr>
      <w:r w:rsidRPr="0060058F">
        <w:rPr>
          <w:rStyle w:val="FootnoteReference"/>
          <w:rFonts w:cs="Arial"/>
        </w:rPr>
        <w:footnoteRef/>
      </w:r>
      <w:r w:rsidRPr="0060058F">
        <w:rPr>
          <w:rFonts w:cs="Arial"/>
        </w:rPr>
        <w:t xml:space="preserve"> </w:t>
      </w:r>
      <w:r w:rsidRPr="00710473">
        <w:rPr>
          <w:rFonts w:cs="Arial"/>
          <w:i/>
        </w:rPr>
        <w:t>Inter-American Commission on Human Rights, The Situation of the Rights of Women in Ciudad Juárez, Mexico: The Right to be Free from Violence and Discrimination, OEA/Ser.L/V/II.117, Doc. 44</w:t>
      </w:r>
      <w:r w:rsidRPr="00710473" w:rsidDel="00710473">
        <w:rPr>
          <w:rFonts w:cs="Arial"/>
          <w:i/>
        </w:rPr>
        <w:t xml:space="preserve"> </w:t>
      </w:r>
      <w:r w:rsidRPr="0060058F">
        <w:rPr>
          <w:rFonts w:cs="Arial"/>
        </w:rPr>
        <w:t>[278].</w:t>
      </w:r>
    </w:p>
  </w:footnote>
  <w:footnote w:id="64">
    <w:p w:rsidR="0099452E" w:rsidRPr="0060058F" w:rsidRDefault="0099452E" w:rsidP="008C0235">
      <w:pPr>
        <w:pStyle w:val="FootnoteText"/>
        <w:rPr>
          <w:rFonts w:cs="Arial"/>
        </w:rPr>
      </w:pPr>
      <w:r w:rsidRPr="0060058F">
        <w:rPr>
          <w:rStyle w:val="FootnoteReference"/>
          <w:rFonts w:cs="Arial"/>
        </w:rPr>
        <w:footnoteRef/>
      </w:r>
      <w:r w:rsidRPr="0060058F">
        <w:rPr>
          <w:rFonts w:cs="Arial"/>
        </w:rPr>
        <w:t xml:space="preserve"> </w:t>
      </w:r>
      <w:r w:rsidRPr="0060058F">
        <w:rPr>
          <w:rFonts w:cs="Arial"/>
          <w:i/>
        </w:rPr>
        <w:t>Convention on the Rights of the Child</w:t>
      </w:r>
      <w:r>
        <w:rPr>
          <w:rFonts w:cs="Arial"/>
          <w:i/>
        </w:rPr>
        <w:t>,</w:t>
      </w:r>
      <w:r w:rsidRPr="0060058F">
        <w:rPr>
          <w:rFonts w:cs="Arial"/>
        </w:rPr>
        <w:t xml:space="preserve"> opened for signature 20 November 1989, 1577 United Nations, Treaty Series 3 (entered into force 2 September 1990).</w:t>
      </w:r>
    </w:p>
  </w:footnote>
  <w:footnote w:id="65">
    <w:p w:rsidR="0099452E" w:rsidRPr="0060058F" w:rsidRDefault="0099452E" w:rsidP="00987552">
      <w:pPr>
        <w:pStyle w:val="FootnoteText"/>
        <w:rPr>
          <w:rFonts w:cs="Arial"/>
        </w:rPr>
      </w:pPr>
      <w:r w:rsidRPr="0060058F">
        <w:rPr>
          <w:rStyle w:val="FootnoteReference"/>
          <w:rFonts w:cs="Arial"/>
        </w:rPr>
        <w:footnoteRef/>
      </w:r>
      <w:r w:rsidRPr="0060058F">
        <w:rPr>
          <w:rFonts w:cs="Arial"/>
        </w:rPr>
        <w:t xml:space="preserve"> Crime Research Centre and Donovan Research, </w:t>
      </w:r>
      <w:r w:rsidRPr="0060058F">
        <w:rPr>
          <w:rFonts w:cs="Arial"/>
          <w:i/>
        </w:rPr>
        <w:t xml:space="preserve">Young people and domestic violence: national research on young people’s attitudes to and experiences of domestic violence, </w:t>
      </w:r>
      <w:r w:rsidRPr="0060058F">
        <w:rPr>
          <w:rFonts w:cs="Arial"/>
        </w:rPr>
        <w:t xml:space="preserve">Commonwealth Attorney-General’s Department, Canberra. Cited in D Indermaur, ‘Young Australians and domestic violence’ </w:t>
      </w:r>
      <w:r w:rsidRPr="0060058F">
        <w:rPr>
          <w:rFonts w:cs="Arial"/>
          <w:i/>
        </w:rPr>
        <w:t xml:space="preserve">Trends &amp; Issues in Crime and Criminal Justice </w:t>
      </w:r>
      <w:r w:rsidRPr="0060058F">
        <w:rPr>
          <w:rFonts w:cs="Arial"/>
        </w:rPr>
        <w:t xml:space="preserve">no. 195, Australian Institute </w:t>
      </w:r>
      <w:r>
        <w:rPr>
          <w:rFonts w:cs="Arial"/>
        </w:rPr>
        <w:t>of Criminology, Canberra, 2001.</w:t>
      </w:r>
    </w:p>
  </w:footnote>
  <w:footnote w:id="66">
    <w:p w:rsidR="0099452E" w:rsidRPr="0060058F" w:rsidRDefault="0099452E" w:rsidP="00987552">
      <w:pPr>
        <w:pStyle w:val="FootnoteText"/>
        <w:rPr>
          <w:rFonts w:cs="Arial"/>
        </w:rPr>
      </w:pPr>
      <w:r w:rsidRPr="0060058F">
        <w:rPr>
          <w:rStyle w:val="FootnoteReference"/>
          <w:rFonts w:cs="Arial"/>
        </w:rPr>
        <w:footnoteRef/>
      </w:r>
      <w:r w:rsidRPr="0060058F">
        <w:rPr>
          <w:rFonts w:cs="Arial"/>
        </w:rPr>
        <w:t xml:space="preserve">Richards, Kelly, Australian Institute of Criminology, Children’s exposure to domestic violence in Australia, </w:t>
      </w:r>
      <w:r w:rsidRPr="0060058F">
        <w:rPr>
          <w:rFonts w:cs="Arial"/>
          <w:i/>
        </w:rPr>
        <w:t xml:space="preserve">Trends &amp; issues in crime and criminal justice No. 419 </w:t>
      </w:r>
      <w:r w:rsidRPr="0060058F">
        <w:rPr>
          <w:rFonts w:cs="Arial"/>
        </w:rPr>
        <w:t xml:space="preserve">June 2011. P 2 </w:t>
      </w:r>
    </w:p>
  </w:footnote>
  <w:footnote w:id="67">
    <w:p w:rsidR="0099452E" w:rsidRPr="0060058F" w:rsidRDefault="0099452E" w:rsidP="00987552">
      <w:pPr>
        <w:pStyle w:val="FootnoteText"/>
        <w:rPr>
          <w:rFonts w:cs="Arial"/>
        </w:rPr>
      </w:pPr>
      <w:r w:rsidRPr="0060058F">
        <w:rPr>
          <w:rStyle w:val="FootnoteReference"/>
          <w:rFonts w:cs="Arial"/>
        </w:rPr>
        <w:footnoteRef/>
      </w:r>
      <w:r w:rsidRPr="0060058F">
        <w:rPr>
          <w:rFonts w:cs="Arial"/>
        </w:rPr>
        <w:t xml:space="preserve"> Time for Action, The National Council’s Plan for Australia to Reduce Violence against Women and their Children, 2009-2021, Ma</w:t>
      </w:r>
      <w:r>
        <w:rPr>
          <w:rFonts w:cs="Arial"/>
        </w:rPr>
        <w:t>rch 2009, see recommendation 9.</w:t>
      </w:r>
    </w:p>
  </w:footnote>
  <w:footnote w:id="68">
    <w:p w:rsidR="0099452E" w:rsidRPr="0060058F" w:rsidRDefault="0099452E" w:rsidP="00987552">
      <w:pPr>
        <w:pStyle w:val="FootnoteText"/>
        <w:rPr>
          <w:rFonts w:cs="Arial"/>
        </w:rPr>
      </w:pPr>
      <w:r w:rsidRPr="0060058F">
        <w:rPr>
          <w:rStyle w:val="FootnoteReference"/>
          <w:rFonts w:cs="Arial"/>
        </w:rPr>
        <w:footnoteRef/>
      </w:r>
      <w:r w:rsidRPr="0060058F">
        <w:rPr>
          <w:rFonts w:cs="Arial"/>
        </w:rPr>
        <w:t xml:space="preserve"> R Hodgkin and P Newell, </w:t>
      </w:r>
      <w:r w:rsidRPr="0060058F">
        <w:rPr>
          <w:rFonts w:cs="Arial"/>
          <w:i/>
        </w:rPr>
        <w:t>Implementation Handbook for the Convention on the Rights of the Child, UNICEF</w:t>
      </w:r>
      <w:r w:rsidRPr="0060058F">
        <w:rPr>
          <w:rFonts w:cs="Arial"/>
        </w:rPr>
        <w:t xml:space="preserve"> (2002), p260</w:t>
      </w:r>
      <w:r>
        <w:rPr>
          <w:rFonts w:cs="Arial"/>
        </w:rPr>
        <w:t>.</w:t>
      </w:r>
    </w:p>
  </w:footnote>
  <w:footnote w:id="69">
    <w:p w:rsidR="0099452E" w:rsidRDefault="0099452E" w:rsidP="002A3493">
      <w:pPr>
        <w:spacing w:before="0" w:after="0"/>
      </w:pPr>
      <w:r>
        <w:rPr>
          <w:rStyle w:val="FootnoteReference"/>
        </w:rPr>
        <w:footnoteRef/>
      </w:r>
      <w:r>
        <w:t xml:space="preserve"> </w:t>
      </w:r>
      <w:r w:rsidRPr="005C5E4A">
        <w:rPr>
          <w:rFonts w:cs="Arial"/>
          <w:sz w:val="20"/>
        </w:rPr>
        <w:t xml:space="preserve">UN Committee on the Rights of the Child, </w:t>
      </w:r>
      <w:r w:rsidRPr="005C5E4A">
        <w:rPr>
          <w:rFonts w:cs="Arial"/>
          <w:i/>
          <w:iCs/>
          <w:sz w:val="20"/>
        </w:rPr>
        <w:t>Consideration of reports submitted by States parties under article 44 of the Convention</w:t>
      </w:r>
      <w:r>
        <w:rPr>
          <w:rFonts w:cs="Arial"/>
          <w:i/>
          <w:iCs/>
          <w:sz w:val="20"/>
        </w:rPr>
        <w:t xml:space="preserve"> </w:t>
      </w:r>
      <w:r w:rsidRPr="005C5E4A">
        <w:rPr>
          <w:rFonts w:cs="Arial"/>
          <w:i/>
          <w:iCs/>
          <w:sz w:val="20"/>
        </w:rPr>
        <w:t xml:space="preserve">Concluding observations: Australia, </w:t>
      </w:r>
      <w:r w:rsidRPr="005C5E4A">
        <w:rPr>
          <w:rFonts w:cs="Arial"/>
          <w:sz w:val="20"/>
        </w:rPr>
        <w:t>CRC/C/AUS/CO/4, 19 June 2012, [45</w:t>
      </w:r>
      <w:r>
        <w:rPr>
          <w:rFonts w:cs="Arial"/>
          <w:sz w:val="20"/>
        </w:rPr>
        <w:t>- 46</w:t>
      </w:r>
      <w:r w:rsidRPr="005C5E4A">
        <w:rPr>
          <w:rFonts w:cs="Arial"/>
          <w:sz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D44FA0"/>
    <w:multiLevelType w:val="multilevel"/>
    <w:tmpl w:val="8676E80A"/>
    <w:lvl w:ilvl="0">
      <w:start w:val="1"/>
      <w:numFmt w:val="decimal"/>
      <w:lvlText w:val="%1."/>
      <w:lvlJc w:val="left"/>
      <w:pPr>
        <w:tabs>
          <w:tab w:val="num" w:pos="720"/>
        </w:tabs>
        <w:ind w:left="720" w:hanging="360"/>
      </w:pPr>
      <w:rPr>
        <w:rFonts w:ascii="Arial" w:hAnsi="Arial"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1DCB237C"/>
    <w:multiLevelType w:val="hybridMultilevel"/>
    <w:tmpl w:val="F6E2FC0A"/>
    <w:lvl w:ilvl="0" w:tplc="A32EC982">
      <w:start w:val="1"/>
      <w:numFmt w:val="decimal"/>
      <w:pStyle w:val="SubmissionNormal"/>
      <w:lvlText w:val="%1."/>
      <w:lvlJc w:val="left"/>
      <w:pPr>
        <w:tabs>
          <w:tab w:val="num" w:pos="644"/>
        </w:tabs>
        <w:ind w:left="644"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2CCD6B6E"/>
    <w:multiLevelType w:val="multilevel"/>
    <w:tmpl w:val="8676E80A"/>
    <w:numStyleLink w:val="StyleNumbered"/>
  </w:abstractNum>
  <w:abstractNum w:abstractNumId="14">
    <w:nsid w:val="36052180"/>
    <w:multiLevelType w:val="hybridMultilevel"/>
    <w:tmpl w:val="A164040E"/>
    <w:lvl w:ilvl="0" w:tplc="0C090019">
      <w:start w:val="1"/>
      <w:numFmt w:val="lowerLetter"/>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nsid w:val="36906F51"/>
    <w:multiLevelType w:val="multilevel"/>
    <w:tmpl w:val="8676E80A"/>
    <w:lvl w:ilvl="0">
      <w:start w:val="1"/>
      <w:numFmt w:val="decimal"/>
      <w:lvlText w:val="%1."/>
      <w:lvlJc w:val="left"/>
      <w:pPr>
        <w:tabs>
          <w:tab w:val="num" w:pos="720"/>
        </w:tabs>
        <w:ind w:left="720" w:hanging="360"/>
      </w:pPr>
      <w:rPr>
        <w:rFonts w:ascii="Arial" w:hAnsi="Arial"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9FF7A73"/>
    <w:multiLevelType w:val="multilevel"/>
    <w:tmpl w:val="0FBCDE02"/>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8">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6E28382B"/>
    <w:multiLevelType w:val="multilevel"/>
    <w:tmpl w:val="8676E80A"/>
    <w:lvl w:ilvl="0">
      <w:start w:val="1"/>
      <w:numFmt w:val="decimal"/>
      <w:lvlText w:val="%1."/>
      <w:lvlJc w:val="left"/>
      <w:pPr>
        <w:tabs>
          <w:tab w:val="num" w:pos="720"/>
        </w:tabs>
        <w:ind w:left="720" w:hanging="360"/>
      </w:pPr>
      <w:rPr>
        <w:rFonts w:ascii="Arial" w:hAnsi="Arial"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19"/>
  </w:num>
  <w:num w:numId="12">
    <w:abstractNumId w:val="16"/>
  </w:num>
  <w:num w:numId="13">
    <w:abstractNumId w:val="12"/>
  </w:num>
  <w:num w:numId="14">
    <w:abstractNumId w:val="18"/>
  </w:num>
  <w:num w:numId="15">
    <w:abstractNumId w:val="17"/>
  </w:num>
  <w:num w:numId="16">
    <w:abstractNumId w:val="13"/>
  </w:num>
  <w:num w:numId="17">
    <w:abstractNumId w:val="11"/>
  </w:num>
  <w:num w:numId="18">
    <w:abstractNumId w:val="14"/>
  </w:num>
  <w:num w:numId="19">
    <w:abstractNumId w:val="10"/>
  </w:num>
  <w:num w:numId="20">
    <w:abstractNumId w:val="15"/>
  </w:num>
  <w:num w:numId="21">
    <w:abstractNumId w:val="20"/>
  </w:num>
  <w:num w:numId="2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552"/>
    <w:rsid w:val="0001254B"/>
    <w:rsid w:val="00013272"/>
    <w:rsid w:val="00020E87"/>
    <w:rsid w:val="00021134"/>
    <w:rsid w:val="0004342B"/>
    <w:rsid w:val="000540A0"/>
    <w:rsid w:val="000579B1"/>
    <w:rsid w:val="00074750"/>
    <w:rsid w:val="00074CD6"/>
    <w:rsid w:val="000B0A5D"/>
    <w:rsid w:val="000D15B2"/>
    <w:rsid w:val="000F2D4A"/>
    <w:rsid w:val="000F455A"/>
    <w:rsid w:val="001011C8"/>
    <w:rsid w:val="00106250"/>
    <w:rsid w:val="00112BB2"/>
    <w:rsid w:val="00132462"/>
    <w:rsid w:val="00137FAF"/>
    <w:rsid w:val="00140077"/>
    <w:rsid w:val="001523D8"/>
    <w:rsid w:val="001566D4"/>
    <w:rsid w:val="00162A8D"/>
    <w:rsid w:val="00176AC2"/>
    <w:rsid w:val="00184098"/>
    <w:rsid w:val="00185E97"/>
    <w:rsid w:val="001867A2"/>
    <w:rsid w:val="001A5D46"/>
    <w:rsid w:val="001B0353"/>
    <w:rsid w:val="001C139C"/>
    <w:rsid w:val="001C353F"/>
    <w:rsid w:val="001C451B"/>
    <w:rsid w:val="001C64DC"/>
    <w:rsid w:val="001D691C"/>
    <w:rsid w:val="001F2BBB"/>
    <w:rsid w:val="002043C5"/>
    <w:rsid w:val="0020759E"/>
    <w:rsid w:val="00213856"/>
    <w:rsid w:val="00231ED1"/>
    <w:rsid w:val="0023303F"/>
    <w:rsid w:val="00234894"/>
    <w:rsid w:val="0024300C"/>
    <w:rsid w:val="0024557E"/>
    <w:rsid w:val="00247753"/>
    <w:rsid w:val="00262D1E"/>
    <w:rsid w:val="002702D9"/>
    <w:rsid w:val="00276358"/>
    <w:rsid w:val="00291D34"/>
    <w:rsid w:val="00297196"/>
    <w:rsid w:val="002A3493"/>
    <w:rsid w:val="003040CA"/>
    <w:rsid w:val="00305006"/>
    <w:rsid w:val="00310ED4"/>
    <w:rsid w:val="0031492A"/>
    <w:rsid w:val="00316504"/>
    <w:rsid w:val="00316C1A"/>
    <w:rsid w:val="003203B8"/>
    <w:rsid w:val="00321AF0"/>
    <w:rsid w:val="003528E1"/>
    <w:rsid w:val="00361030"/>
    <w:rsid w:val="00362CF4"/>
    <w:rsid w:val="00374F2F"/>
    <w:rsid w:val="00377C8F"/>
    <w:rsid w:val="00387414"/>
    <w:rsid w:val="003931C7"/>
    <w:rsid w:val="00393AA7"/>
    <w:rsid w:val="003955AE"/>
    <w:rsid w:val="00395B25"/>
    <w:rsid w:val="003A1819"/>
    <w:rsid w:val="003A533F"/>
    <w:rsid w:val="003B1226"/>
    <w:rsid w:val="003B18A7"/>
    <w:rsid w:val="003B4789"/>
    <w:rsid w:val="003C1442"/>
    <w:rsid w:val="003D6613"/>
    <w:rsid w:val="003E3421"/>
    <w:rsid w:val="003F026E"/>
    <w:rsid w:val="003F0CEE"/>
    <w:rsid w:val="004215B3"/>
    <w:rsid w:val="00444303"/>
    <w:rsid w:val="004561BE"/>
    <w:rsid w:val="00462D4C"/>
    <w:rsid w:val="00463427"/>
    <w:rsid w:val="00473DB9"/>
    <w:rsid w:val="00474063"/>
    <w:rsid w:val="00476EEA"/>
    <w:rsid w:val="00494D4B"/>
    <w:rsid w:val="004A722D"/>
    <w:rsid w:val="004C5419"/>
    <w:rsid w:val="004F1CB9"/>
    <w:rsid w:val="004F2554"/>
    <w:rsid w:val="004F36E1"/>
    <w:rsid w:val="004F3AFC"/>
    <w:rsid w:val="004F53EF"/>
    <w:rsid w:val="00503E04"/>
    <w:rsid w:val="00504B28"/>
    <w:rsid w:val="00507902"/>
    <w:rsid w:val="00513540"/>
    <w:rsid w:val="00522CED"/>
    <w:rsid w:val="0052438C"/>
    <w:rsid w:val="00532CF7"/>
    <w:rsid w:val="00535E0F"/>
    <w:rsid w:val="0055031B"/>
    <w:rsid w:val="00551B45"/>
    <w:rsid w:val="00554C04"/>
    <w:rsid w:val="005711FE"/>
    <w:rsid w:val="00587835"/>
    <w:rsid w:val="005B6C5B"/>
    <w:rsid w:val="005B7515"/>
    <w:rsid w:val="005C1654"/>
    <w:rsid w:val="005C5E4A"/>
    <w:rsid w:val="005D04F4"/>
    <w:rsid w:val="005D1F34"/>
    <w:rsid w:val="005D5C8B"/>
    <w:rsid w:val="005F5F45"/>
    <w:rsid w:val="0060058F"/>
    <w:rsid w:val="00612C7A"/>
    <w:rsid w:val="00622451"/>
    <w:rsid w:val="006470B5"/>
    <w:rsid w:val="00651B0B"/>
    <w:rsid w:val="006709CB"/>
    <w:rsid w:val="00690313"/>
    <w:rsid w:val="0069376C"/>
    <w:rsid w:val="00696390"/>
    <w:rsid w:val="00697CE3"/>
    <w:rsid w:val="006A023C"/>
    <w:rsid w:val="006A6BB3"/>
    <w:rsid w:val="006B3680"/>
    <w:rsid w:val="006C28E8"/>
    <w:rsid w:val="006D5EE5"/>
    <w:rsid w:val="006E06ED"/>
    <w:rsid w:val="006E06F5"/>
    <w:rsid w:val="006F48E4"/>
    <w:rsid w:val="007039FC"/>
    <w:rsid w:val="00706FAB"/>
    <w:rsid w:val="00707793"/>
    <w:rsid w:val="00710473"/>
    <w:rsid w:val="007157AD"/>
    <w:rsid w:val="007169BB"/>
    <w:rsid w:val="00725D5E"/>
    <w:rsid w:val="007375BC"/>
    <w:rsid w:val="00753846"/>
    <w:rsid w:val="007548CA"/>
    <w:rsid w:val="00770DCB"/>
    <w:rsid w:val="00775485"/>
    <w:rsid w:val="007841E1"/>
    <w:rsid w:val="00791D73"/>
    <w:rsid w:val="007B57B3"/>
    <w:rsid w:val="007B6B6A"/>
    <w:rsid w:val="007D1174"/>
    <w:rsid w:val="007D40BD"/>
    <w:rsid w:val="007E1866"/>
    <w:rsid w:val="007E6434"/>
    <w:rsid w:val="007F11B3"/>
    <w:rsid w:val="008049DC"/>
    <w:rsid w:val="00810ABF"/>
    <w:rsid w:val="0081256A"/>
    <w:rsid w:val="008125EE"/>
    <w:rsid w:val="0083209A"/>
    <w:rsid w:val="008352D3"/>
    <w:rsid w:val="00850CC5"/>
    <w:rsid w:val="008546B3"/>
    <w:rsid w:val="008724DE"/>
    <w:rsid w:val="008A2AF7"/>
    <w:rsid w:val="008A3D57"/>
    <w:rsid w:val="008C0235"/>
    <w:rsid w:val="008C52FA"/>
    <w:rsid w:val="008D08FC"/>
    <w:rsid w:val="008E185F"/>
    <w:rsid w:val="008E3D60"/>
    <w:rsid w:val="008E7CB3"/>
    <w:rsid w:val="008F3AA9"/>
    <w:rsid w:val="0090165F"/>
    <w:rsid w:val="009052A6"/>
    <w:rsid w:val="00921CB7"/>
    <w:rsid w:val="00923C4F"/>
    <w:rsid w:val="0093398D"/>
    <w:rsid w:val="009472C4"/>
    <w:rsid w:val="00950E88"/>
    <w:rsid w:val="009656D0"/>
    <w:rsid w:val="00966C2F"/>
    <w:rsid w:val="009802F3"/>
    <w:rsid w:val="00987552"/>
    <w:rsid w:val="00990F52"/>
    <w:rsid w:val="0099452E"/>
    <w:rsid w:val="009A390D"/>
    <w:rsid w:val="009A4D69"/>
    <w:rsid w:val="009A5753"/>
    <w:rsid w:val="009C5FB8"/>
    <w:rsid w:val="009E7FC4"/>
    <w:rsid w:val="009F51D9"/>
    <w:rsid w:val="009F7AAC"/>
    <w:rsid w:val="00A02F56"/>
    <w:rsid w:val="00A0406E"/>
    <w:rsid w:val="00A35510"/>
    <w:rsid w:val="00A41355"/>
    <w:rsid w:val="00A43B92"/>
    <w:rsid w:val="00A44720"/>
    <w:rsid w:val="00A6179E"/>
    <w:rsid w:val="00A66F67"/>
    <w:rsid w:val="00A76D31"/>
    <w:rsid w:val="00A8441D"/>
    <w:rsid w:val="00A84F74"/>
    <w:rsid w:val="00A96369"/>
    <w:rsid w:val="00A97E83"/>
    <w:rsid w:val="00AC27AB"/>
    <w:rsid w:val="00AC4913"/>
    <w:rsid w:val="00AC6A34"/>
    <w:rsid w:val="00AC7DA8"/>
    <w:rsid w:val="00AE76EB"/>
    <w:rsid w:val="00B00FE0"/>
    <w:rsid w:val="00B027F9"/>
    <w:rsid w:val="00B22697"/>
    <w:rsid w:val="00B25D1E"/>
    <w:rsid w:val="00B277E0"/>
    <w:rsid w:val="00B42044"/>
    <w:rsid w:val="00B52E2D"/>
    <w:rsid w:val="00B67F33"/>
    <w:rsid w:val="00B76653"/>
    <w:rsid w:val="00BA262D"/>
    <w:rsid w:val="00BC5E09"/>
    <w:rsid w:val="00BC79EB"/>
    <w:rsid w:val="00BE220F"/>
    <w:rsid w:val="00C076F2"/>
    <w:rsid w:val="00C247EB"/>
    <w:rsid w:val="00C25BDA"/>
    <w:rsid w:val="00C266B8"/>
    <w:rsid w:val="00C27B8A"/>
    <w:rsid w:val="00C53971"/>
    <w:rsid w:val="00C54FB1"/>
    <w:rsid w:val="00C80F9F"/>
    <w:rsid w:val="00C86156"/>
    <w:rsid w:val="00CA0D78"/>
    <w:rsid w:val="00CB232A"/>
    <w:rsid w:val="00CB27A8"/>
    <w:rsid w:val="00CC55D9"/>
    <w:rsid w:val="00CE4E99"/>
    <w:rsid w:val="00CE7182"/>
    <w:rsid w:val="00D0079D"/>
    <w:rsid w:val="00D347A0"/>
    <w:rsid w:val="00D36D90"/>
    <w:rsid w:val="00D65C76"/>
    <w:rsid w:val="00D862A4"/>
    <w:rsid w:val="00D9695A"/>
    <w:rsid w:val="00DA2F73"/>
    <w:rsid w:val="00DA42E8"/>
    <w:rsid w:val="00DA47AD"/>
    <w:rsid w:val="00DB2D1B"/>
    <w:rsid w:val="00DB3C46"/>
    <w:rsid w:val="00DB477A"/>
    <w:rsid w:val="00DC193F"/>
    <w:rsid w:val="00DC3C4F"/>
    <w:rsid w:val="00DC462F"/>
    <w:rsid w:val="00DD1EE4"/>
    <w:rsid w:val="00DD761E"/>
    <w:rsid w:val="00DE0F89"/>
    <w:rsid w:val="00DE592D"/>
    <w:rsid w:val="00DF3935"/>
    <w:rsid w:val="00E05EA4"/>
    <w:rsid w:val="00E24FA3"/>
    <w:rsid w:val="00E25E99"/>
    <w:rsid w:val="00E26887"/>
    <w:rsid w:val="00E328CD"/>
    <w:rsid w:val="00E45954"/>
    <w:rsid w:val="00E75D90"/>
    <w:rsid w:val="00E764DB"/>
    <w:rsid w:val="00E835AF"/>
    <w:rsid w:val="00E97EF8"/>
    <w:rsid w:val="00EA543A"/>
    <w:rsid w:val="00EA7D8D"/>
    <w:rsid w:val="00ED14E6"/>
    <w:rsid w:val="00EE44D7"/>
    <w:rsid w:val="00EE5973"/>
    <w:rsid w:val="00EF5AA9"/>
    <w:rsid w:val="00F12902"/>
    <w:rsid w:val="00F14C6D"/>
    <w:rsid w:val="00F21BCB"/>
    <w:rsid w:val="00F3100E"/>
    <w:rsid w:val="00F332FB"/>
    <w:rsid w:val="00F71A6E"/>
    <w:rsid w:val="00F9078E"/>
    <w:rsid w:val="00F95982"/>
    <w:rsid w:val="00FB0989"/>
    <w:rsid w:val="00FC4244"/>
    <w:rsid w:val="00FC582E"/>
    <w:rsid w:val="00FD1519"/>
    <w:rsid w:val="00FD6932"/>
    <w:rsid w:val="00FD75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footnote text" w:uiPriority="99"/>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uiPriority="99"/>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99"/>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76D31"/>
    <w:pPr>
      <w:spacing w:before="240" w:after="240"/>
    </w:pPr>
    <w:rPr>
      <w:rFonts w:ascii="Arial" w:hAnsi="Arial"/>
      <w:color w:val="000000"/>
      <w:sz w:val="24"/>
      <w:lang w:eastAsia="en-US"/>
    </w:rPr>
  </w:style>
  <w:style w:type="paragraph" w:styleId="Heading1">
    <w:name w:val="heading 1"/>
    <w:basedOn w:val="Normal"/>
    <w:next w:val="Normal"/>
    <w:link w:val="Heading1Char"/>
    <w:qFormat/>
    <w:rsid w:val="00A76D31"/>
    <w:pPr>
      <w:keepNext/>
      <w:keepLines/>
      <w:numPr>
        <w:numId w:val="22"/>
      </w:numPr>
      <w:spacing w:before="360"/>
      <w:outlineLvl w:val="0"/>
    </w:pPr>
    <w:rPr>
      <w:b/>
      <w:bCs/>
      <w:sz w:val="28"/>
      <w:szCs w:val="28"/>
    </w:rPr>
  </w:style>
  <w:style w:type="paragraph" w:styleId="Heading2">
    <w:name w:val="heading 2"/>
    <w:basedOn w:val="Heading1"/>
    <w:next w:val="Normal"/>
    <w:link w:val="Heading2Char"/>
    <w:qFormat/>
    <w:rsid w:val="00A76D31"/>
    <w:pPr>
      <w:numPr>
        <w:ilvl w:val="1"/>
      </w:numPr>
      <w:outlineLvl w:val="1"/>
    </w:pPr>
    <w:rPr>
      <w:bCs w:val="0"/>
      <w:i/>
      <w:szCs w:val="26"/>
    </w:rPr>
  </w:style>
  <w:style w:type="paragraph" w:styleId="Heading3">
    <w:name w:val="heading 3"/>
    <w:basedOn w:val="Heading2"/>
    <w:next w:val="Normal"/>
    <w:link w:val="Heading3Char"/>
    <w:qFormat/>
    <w:rsid w:val="00A76D31"/>
    <w:pPr>
      <w:numPr>
        <w:ilvl w:val="2"/>
      </w:numPr>
      <w:outlineLvl w:val="2"/>
    </w:pPr>
    <w:rPr>
      <w:b w:val="0"/>
      <w:bCs/>
      <w:color w:val="auto"/>
      <w:sz w:val="24"/>
    </w:rPr>
  </w:style>
  <w:style w:type="paragraph" w:styleId="Heading4">
    <w:name w:val="heading 4"/>
    <w:basedOn w:val="Heading3"/>
    <w:next w:val="Normal"/>
    <w:link w:val="Heading4Char"/>
    <w:qFormat/>
    <w:rsid w:val="00A76D31"/>
    <w:pPr>
      <w:numPr>
        <w:ilvl w:val="3"/>
      </w:numPr>
      <w:outlineLvl w:val="3"/>
    </w:pPr>
    <w:rPr>
      <w:bCs w:val="0"/>
      <w:i w:val="0"/>
      <w:iCs/>
    </w:rPr>
  </w:style>
  <w:style w:type="paragraph" w:styleId="Heading5">
    <w:name w:val="heading 5"/>
    <w:basedOn w:val="Normal"/>
    <w:next w:val="Normal"/>
    <w:link w:val="Heading5Char"/>
    <w:qFormat/>
    <w:locked/>
    <w:rsid w:val="00A76D31"/>
    <w:pPr>
      <w:keepNext/>
      <w:keepLines/>
      <w:numPr>
        <w:ilvl w:val="4"/>
        <w:numId w:val="22"/>
      </w:numPr>
      <w:spacing w:before="200"/>
      <w:outlineLvl w:val="4"/>
    </w:pPr>
    <w:rPr>
      <w:rFonts w:ascii="Cambria" w:hAnsi="Cambria"/>
      <w:color w:val="243F60"/>
    </w:rPr>
  </w:style>
  <w:style w:type="paragraph" w:styleId="Heading6">
    <w:name w:val="heading 6"/>
    <w:basedOn w:val="Normal"/>
    <w:next w:val="Normal"/>
    <w:link w:val="Heading6Char"/>
    <w:qFormat/>
    <w:locked/>
    <w:rsid w:val="00A76D31"/>
    <w:pPr>
      <w:keepNext/>
      <w:keepLines/>
      <w:numPr>
        <w:ilvl w:val="5"/>
        <w:numId w:val="22"/>
      </w:numPr>
      <w:spacing w:before="200"/>
      <w:outlineLvl w:val="5"/>
    </w:pPr>
    <w:rPr>
      <w:rFonts w:ascii="Cambria" w:hAnsi="Cambria"/>
      <w:i/>
      <w:iCs/>
      <w:color w:val="243F60"/>
    </w:rPr>
  </w:style>
  <w:style w:type="paragraph" w:styleId="Heading7">
    <w:name w:val="heading 7"/>
    <w:basedOn w:val="Normal"/>
    <w:next w:val="Normal"/>
    <w:link w:val="Heading7Char"/>
    <w:qFormat/>
    <w:locked/>
    <w:rsid w:val="00A76D31"/>
    <w:pPr>
      <w:keepNext/>
      <w:keepLines/>
      <w:numPr>
        <w:ilvl w:val="6"/>
        <w:numId w:val="22"/>
      </w:numPr>
      <w:spacing w:before="200"/>
      <w:outlineLvl w:val="6"/>
    </w:pPr>
    <w:rPr>
      <w:rFonts w:ascii="Cambria" w:hAnsi="Cambria"/>
      <w:i/>
      <w:iCs/>
      <w:color w:val="404040"/>
    </w:rPr>
  </w:style>
  <w:style w:type="paragraph" w:styleId="Heading8">
    <w:name w:val="heading 8"/>
    <w:basedOn w:val="Normal"/>
    <w:next w:val="Normal"/>
    <w:link w:val="Heading8Char"/>
    <w:qFormat/>
    <w:locked/>
    <w:rsid w:val="00A76D31"/>
    <w:pPr>
      <w:keepNext/>
      <w:keepLines/>
      <w:tabs>
        <w:tab w:val="num" w:pos="0"/>
      </w:tabs>
      <w:spacing w:before="200"/>
      <w:ind w:left="1440" w:hanging="1440"/>
      <w:outlineLvl w:val="7"/>
    </w:pPr>
    <w:rPr>
      <w:rFonts w:ascii="Cambria" w:hAnsi="Cambria"/>
      <w:color w:val="404040"/>
      <w:sz w:val="20"/>
    </w:rPr>
  </w:style>
  <w:style w:type="paragraph" w:styleId="Heading9">
    <w:name w:val="heading 9"/>
    <w:basedOn w:val="Normal"/>
    <w:next w:val="Normal"/>
    <w:link w:val="Heading9Char"/>
    <w:qFormat/>
    <w:locked/>
    <w:rsid w:val="00A76D31"/>
    <w:pPr>
      <w:keepNext/>
      <w:keepLines/>
      <w:tabs>
        <w:tab w:val="num" w:pos="0"/>
      </w:tabs>
      <w:spacing w:before="200"/>
      <w:ind w:left="1584" w:hanging="1584"/>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6D31"/>
    <w:rPr>
      <w:rFonts w:ascii="Arial" w:hAnsi="Arial"/>
      <w:b/>
      <w:bCs/>
      <w:color w:val="000000"/>
      <w:sz w:val="28"/>
      <w:szCs w:val="28"/>
      <w:lang w:eastAsia="en-US"/>
    </w:rPr>
  </w:style>
  <w:style w:type="character" w:customStyle="1" w:styleId="Heading2Char">
    <w:name w:val="Heading 2 Char"/>
    <w:link w:val="Heading2"/>
    <w:rsid w:val="00A76D31"/>
    <w:rPr>
      <w:rFonts w:ascii="Arial" w:hAnsi="Arial"/>
      <w:b/>
      <w:i/>
      <w:color w:val="000000"/>
      <w:sz w:val="28"/>
      <w:szCs w:val="26"/>
      <w:lang w:eastAsia="en-US"/>
    </w:rPr>
  </w:style>
  <w:style w:type="character" w:customStyle="1" w:styleId="Heading3Char">
    <w:name w:val="Heading 3 Char"/>
    <w:link w:val="Heading3"/>
    <w:rsid w:val="00A76D31"/>
    <w:rPr>
      <w:rFonts w:ascii="Arial" w:hAnsi="Arial"/>
      <w:bCs/>
      <w:i/>
      <w:sz w:val="24"/>
      <w:szCs w:val="26"/>
      <w:lang w:eastAsia="en-US"/>
    </w:rPr>
  </w:style>
  <w:style w:type="character" w:customStyle="1" w:styleId="Heading4Char">
    <w:name w:val="Heading 4 Char"/>
    <w:link w:val="Heading4"/>
    <w:rsid w:val="00A76D31"/>
    <w:rPr>
      <w:rFonts w:ascii="Arial" w:hAnsi="Arial"/>
      <w:iCs/>
      <w:sz w:val="24"/>
      <w:szCs w:val="26"/>
      <w:lang w:eastAsia="en-US"/>
    </w:rPr>
  </w:style>
  <w:style w:type="character" w:styleId="Strong">
    <w:name w:val="Strong"/>
    <w:qFormat/>
    <w:locked/>
    <w:rsid w:val="00A76D31"/>
    <w:rPr>
      <w:b/>
      <w:bCs/>
    </w:rPr>
  </w:style>
  <w:style w:type="character" w:customStyle="1" w:styleId="Heading5Char">
    <w:name w:val="Heading 5 Char"/>
    <w:link w:val="Heading5"/>
    <w:rsid w:val="00A76D31"/>
    <w:rPr>
      <w:rFonts w:ascii="Cambria" w:hAnsi="Cambria"/>
      <w:color w:val="243F60"/>
      <w:sz w:val="24"/>
      <w:lang w:eastAsia="en-US"/>
    </w:rPr>
  </w:style>
  <w:style w:type="character" w:customStyle="1" w:styleId="Heading6Char">
    <w:name w:val="Heading 6 Char"/>
    <w:link w:val="Heading6"/>
    <w:rsid w:val="00A76D31"/>
    <w:rPr>
      <w:rFonts w:ascii="Cambria" w:hAnsi="Cambria"/>
      <w:i/>
      <w:iCs/>
      <w:color w:val="243F60"/>
      <w:sz w:val="24"/>
      <w:lang w:eastAsia="en-US"/>
    </w:rPr>
  </w:style>
  <w:style w:type="character" w:customStyle="1" w:styleId="Heading7Char">
    <w:name w:val="Heading 7 Char"/>
    <w:link w:val="Heading7"/>
    <w:rsid w:val="00A76D31"/>
    <w:rPr>
      <w:rFonts w:ascii="Cambria" w:hAnsi="Cambria"/>
      <w:i/>
      <w:iCs/>
      <w:color w:val="404040"/>
      <w:sz w:val="24"/>
      <w:lang w:eastAsia="en-US"/>
    </w:rPr>
  </w:style>
  <w:style w:type="character" w:customStyle="1" w:styleId="Heading8Char">
    <w:name w:val="Heading 8 Char"/>
    <w:link w:val="Heading8"/>
    <w:rsid w:val="00A76D31"/>
    <w:rPr>
      <w:rFonts w:ascii="Cambria" w:hAnsi="Cambria"/>
      <w:color w:val="404040"/>
      <w:lang w:eastAsia="en-US"/>
    </w:rPr>
  </w:style>
  <w:style w:type="character" w:customStyle="1" w:styleId="Heading9Char">
    <w:name w:val="Heading 9 Char"/>
    <w:link w:val="Heading9"/>
    <w:rsid w:val="00A76D31"/>
    <w:rPr>
      <w:rFonts w:ascii="Cambria" w:hAnsi="Cambria"/>
      <w:i/>
      <w:iCs/>
      <w:color w:val="404040"/>
      <w:lang w:eastAsia="en-US"/>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A76D31"/>
    <w:pPr>
      <w:tabs>
        <w:tab w:val="right" w:leader="dot" w:pos="9060"/>
      </w:tabs>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A76D31"/>
    <w:pPr>
      <w:tabs>
        <w:tab w:val="right" w:leader="dot" w:pos="9060"/>
      </w:tabs>
      <w:spacing w:after="0"/>
      <w:ind w:left="720" w:hanging="720"/>
    </w:pPr>
    <w:rPr>
      <w:b/>
      <w:noProof/>
    </w:rPr>
  </w:style>
  <w:style w:type="paragraph" w:styleId="TOC2">
    <w:name w:val="toc 2"/>
    <w:basedOn w:val="Normal"/>
    <w:next w:val="Normal"/>
    <w:autoRedefine/>
    <w:uiPriority w:val="39"/>
    <w:semiHidden/>
    <w:qFormat/>
    <w:locked/>
    <w:rsid w:val="00A76D31"/>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Heading1"/>
    <w:next w:val="Normal"/>
    <w:uiPriority w:val="39"/>
    <w:qFormat/>
    <w:locked/>
    <w:rsid w:val="00A76D31"/>
    <w:pPr>
      <w:numPr>
        <w:numId w:val="0"/>
      </w:numPr>
      <w:spacing w:before="480" w:after="0" w:line="276" w:lineRule="auto"/>
      <w:outlineLvl w:val="9"/>
    </w:pPr>
    <w:rPr>
      <w:rFonts w:ascii="Cambria" w:hAnsi="Cambria"/>
      <w:color w:val="365F91"/>
      <w:lang w:val="en-US"/>
    </w:rPr>
  </w:style>
  <w:style w:type="paragraph" w:styleId="EndnoteText">
    <w:name w:val="endnote text"/>
    <w:basedOn w:val="Normal"/>
    <w:link w:val="EndnoteTextChar"/>
    <w:semiHidden/>
    <w:rsid w:val="00706FAB"/>
    <w:pPr>
      <w:spacing w:before="0" w:after="0"/>
    </w:pPr>
    <w:rPr>
      <w:sz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A76D31"/>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rPr>
  </w:style>
  <w:style w:type="character" w:styleId="FootnoteReference">
    <w:name w:val="footnote reference"/>
    <w:basedOn w:val="DefaultParagraphFont"/>
    <w:uiPriority w:val="99"/>
    <w:semiHidden/>
    <w:rsid w:val="00074CD6"/>
    <w:rPr>
      <w:rFonts w:ascii="Arial" w:hAnsi="Arial"/>
      <w:sz w:val="20"/>
      <w:vertAlign w:val="superscript"/>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
    <w:basedOn w:val="Normal"/>
    <w:link w:val="FootnoteTextChar"/>
    <w:uiPriority w:val="99"/>
    <w:semiHidden/>
    <w:rsid w:val="00706FAB"/>
    <w:pPr>
      <w:spacing w:before="0" w:after="0"/>
    </w:pPr>
    <w:rPr>
      <w:sz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link w:val="HTMLPreformattedChar"/>
    <w:uiPriority w:val="99"/>
    <w:semiHidden/>
    <w:locked/>
    <w:rsid w:val="00E45954"/>
    <w:rPr>
      <w:rFonts w:ascii="Courier New" w:hAnsi="Courier New" w:cs="Courier New"/>
      <w:sz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A76D31"/>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A76D31"/>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semiHidden/>
    <w:locked/>
    <w:rsid w:val="00706FAB"/>
    <w:rPr>
      <w:rFonts w:ascii="Arial" w:hAnsi="Arial"/>
      <w:lang w:val="en-AU" w:eastAsia="en-AU" w:bidi="ar-SA"/>
    </w:rPr>
  </w:style>
  <w:style w:type="paragraph" w:styleId="ListParagraph">
    <w:name w:val="List Paragraph"/>
    <w:basedOn w:val="Normal"/>
    <w:uiPriority w:val="34"/>
    <w:qFormat/>
    <w:rsid w:val="00987552"/>
    <w:pPr>
      <w:ind w:left="720"/>
    </w:pPr>
    <w:rPr>
      <w:rFonts w:eastAsia="MS Mincho"/>
    </w:rPr>
  </w:style>
  <w:style w:type="paragraph" w:styleId="BalloonText">
    <w:name w:val="Balloon Text"/>
    <w:basedOn w:val="Normal"/>
    <w:link w:val="BalloonTextChar"/>
    <w:locked/>
    <w:rsid w:val="00276358"/>
    <w:pPr>
      <w:spacing w:before="0" w:after="0"/>
    </w:pPr>
    <w:rPr>
      <w:rFonts w:ascii="Tahoma" w:hAnsi="Tahoma" w:cs="Tahoma"/>
      <w:sz w:val="16"/>
      <w:szCs w:val="16"/>
    </w:rPr>
  </w:style>
  <w:style w:type="character" w:customStyle="1" w:styleId="BalloonTextChar">
    <w:name w:val="Balloon Text Char"/>
    <w:basedOn w:val="DefaultParagraphFont"/>
    <w:link w:val="BalloonText"/>
    <w:rsid w:val="00276358"/>
    <w:rPr>
      <w:rFonts w:ascii="Tahoma" w:hAnsi="Tahoma" w:cs="Tahoma"/>
      <w:sz w:val="16"/>
      <w:szCs w:val="16"/>
    </w:rPr>
  </w:style>
  <w:style w:type="character" w:customStyle="1" w:styleId="HTMLPreformattedChar">
    <w:name w:val="HTML Preformatted Char"/>
    <w:basedOn w:val="DefaultParagraphFont"/>
    <w:link w:val="HTMLPreformatted"/>
    <w:uiPriority w:val="99"/>
    <w:semiHidden/>
    <w:rsid w:val="00A96369"/>
    <w:rPr>
      <w:rFonts w:ascii="Courier New" w:hAnsi="Courier New" w:cs="Courier New"/>
    </w:rPr>
  </w:style>
  <w:style w:type="paragraph" w:customStyle="1" w:styleId="SubmissionNormal">
    <w:name w:val="Submission Normal"/>
    <w:aliases w:val="No Spacing1,No Spacing11"/>
    <w:basedOn w:val="Normal"/>
    <w:link w:val="SubmissionNormalChar"/>
    <w:rsid w:val="00FD6932"/>
    <w:pPr>
      <w:numPr>
        <w:numId w:val="17"/>
      </w:numPr>
    </w:pPr>
  </w:style>
  <w:style w:type="character" w:customStyle="1" w:styleId="SubmissionNormalChar">
    <w:name w:val="Submission Normal Char"/>
    <w:aliases w:val="No Spacing Char,No Spacing1 Char"/>
    <w:link w:val="SubmissionNormal"/>
    <w:rsid w:val="00FD6932"/>
    <w:rPr>
      <w:rFonts w:ascii="Arial" w:hAnsi="Arial"/>
      <w:color w:val="000000"/>
      <w:sz w:val="24"/>
      <w:lang w:eastAsia="en-US"/>
    </w:rPr>
  </w:style>
  <w:style w:type="character" w:styleId="CommentReference">
    <w:name w:val="annotation reference"/>
    <w:basedOn w:val="DefaultParagraphFont"/>
    <w:locked/>
    <w:rsid w:val="008352D3"/>
    <w:rPr>
      <w:sz w:val="16"/>
      <w:szCs w:val="16"/>
    </w:rPr>
  </w:style>
  <w:style w:type="paragraph" w:styleId="CommentText">
    <w:name w:val="annotation text"/>
    <w:basedOn w:val="Normal"/>
    <w:link w:val="CommentTextChar"/>
    <w:locked/>
    <w:rsid w:val="008352D3"/>
    <w:rPr>
      <w:sz w:val="20"/>
    </w:rPr>
  </w:style>
  <w:style w:type="character" w:customStyle="1" w:styleId="CommentTextChar">
    <w:name w:val="Comment Text Char"/>
    <w:basedOn w:val="DefaultParagraphFont"/>
    <w:link w:val="CommentText"/>
    <w:rsid w:val="008352D3"/>
    <w:rPr>
      <w:rFonts w:ascii="Arial" w:hAnsi="Arial"/>
    </w:rPr>
  </w:style>
  <w:style w:type="paragraph" w:styleId="CommentSubject">
    <w:name w:val="annotation subject"/>
    <w:basedOn w:val="CommentText"/>
    <w:next w:val="CommentText"/>
    <w:link w:val="CommentSubjectChar"/>
    <w:locked/>
    <w:rsid w:val="008352D3"/>
    <w:rPr>
      <w:b/>
      <w:bCs/>
    </w:rPr>
  </w:style>
  <w:style w:type="character" w:customStyle="1" w:styleId="CommentSubjectChar">
    <w:name w:val="Comment Subject Char"/>
    <w:basedOn w:val="CommentTextChar"/>
    <w:link w:val="CommentSubject"/>
    <w:rsid w:val="008352D3"/>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footnote text" w:uiPriority="99"/>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uiPriority="99"/>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99"/>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76D31"/>
    <w:pPr>
      <w:spacing w:before="240" w:after="240"/>
    </w:pPr>
    <w:rPr>
      <w:rFonts w:ascii="Arial" w:hAnsi="Arial"/>
      <w:color w:val="000000"/>
      <w:sz w:val="24"/>
      <w:lang w:eastAsia="en-US"/>
    </w:rPr>
  </w:style>
  <w:style w:type="paragraph" w:styleId="Heading1">
    <w:name w:val="heading 1"/>
    <w:basedOn w:val="Normal"/>
    <w:next w:val="Normal"/>
    <w:link w:val="Heading1Char"/>
    <w:qFormat/>
    <w:rsid w:val="00A76D31"/>
    <w:pPr>
      <w:keepNext/>
      <w:keepLines/>
      <w:numPr>
        <w:numId w:val="22"/>
      </w:numPr>
      <w:spacing w:before="360"/>
      <w:outlineLvl w:val="0"/>
    </w:pPr>
    <w:rPr>
      <w:b/>
      <w:bCs/>
      <w:sz w:val="28"/>
      <w:szCs w:val="28"/>
    </w:rPr>
  </w:style>
  <w:style w:type="paragraph" w:styleId="Heading2">
    <w:name w:val="heading 2"/>
    <w:basedOn w:val="Heading1"/>
    <w:next w:val="Normal"/>
    <w:link w:val="Heading2Char"/>
    <w:qFormat/>
    <w:rsid w:val="00A76D31"/>
    <w:pPr>
      <w:numPr>
        <w:ilvl w:val="1"/>
      </w:numPr>
      <w:outlineLvl w:val="1"/>
    </w:pPr>
    <w:rPr>
      <w:bCs w:val="0"/>
      <w:i/>
      <w:szCs w:val="26"/>
    </w:rPr>
  </w:style>
  <w:style w:type="paragraph" w:styleId="Heading3">
    <w:name w:val="heading 3"/>
    <w:basedOn w:val="Heading2"/>
    <w:next w:val="Normal"/>
    <w:link w:val="Heading3Char"/>
    <w:qFormat/>
    <w:rsid w:val="00A76D31"/>
    <w:pPr>
      <w:numPr>
        <w:ilvl w:val="2"/>
      </w:numPr>
      <w:outlineLvl w:val="2"/>
    </w:pPr>
    <w:rPr>
      <w:b w:val="0"/>
      <w:bCs/>
      <w:color w:val="auto"/>
      <w:sz w:val="24"/>
    </w:rPr>
  </w:style>
  <w:style w:type="paragraph" w:styleId="Heading4">
    <w:name w:val="heading 4"/>
    <w:basedOn w:val="Heading3"/>
    <w:next w:val="Normal"/>
    <w:link w:val="Heading4Char"/>
    <w:qFormat/>
    <w:rsid w:val="00A76D31"/>
    <w:pPr>
      <w:numPr>
        <w:ilvl w:val="3"/>
      </w:numPr>
      <w:outlineLvl w:val="3"/>
    </w:pPr>
    <w:rPr>
      <w:bCs w:val="0"/>
      <w:i w:val="0"/>
      <w:iCs/>
    </w:rPr>
  </w:style>
  <w:style w:type="paragraph" w:styleId="Heading5">
    <w:name w:val="heading 5"/>
    <w:basedOn w:val="Normal"/>
    <w:next w:val="Normal"/>
    <w:link w:val="Heading5Char"/>
    <w:qFormat/>
    <w:locked/>
    <w:rsid w:val="00A76D31"/>
    <w:pPr>
      <w:keepNext/>
      <w:keepLines/>
      <w:numPr>
        <w:ilvl w:val="4"/>
        <w:numId w:val="22"/>
      </w:numPr>
      <w:spacing w:before="200"/>
      <w:outlineLvl w:val="4"/>
    </w:pPr>
    <w:rPr>
      <w:rFonts w:ascii="Cambria" w:hAnsi="Cambria"/>
      <w:color w:val="243F60"/>
    </w:rPr>
  </w:style>
  <w:style w:type="paragraph" w:styleId="Heading6">
    <w:name w:val="heading 6"/>
    <w:basedOn w:val="Normal"/>
    <w:next w:val="Normal"/>
    <w:link w:val="Heading6Char"/>
    <w:qFormat/>
    <w:locked/>
    <w:rsid w:val="00A76D31"/>
    <w:pPr>
      <w:keepNext/>
      <w:keepLines/>
      <w:numPr>
        <w:ilvl w:val="5"/>
        <w:numId w:val="22"/>
      </w:numPr>
      <w:spacing w:before="200"/>
      <w:outlineLvl w:val="5"/>
    </w:pPr>
    <w:rPr>
      <w:rFonts w:ascii="Cambria" w:hAnsi="Cambria"/>
      <w:i/>
      <w:iCs/>
      <w:color w:val="243F60"/>
    </w:rPr>
  </w:style>
  <w:style w:type="paragraph" w:styleId="Heading7">
    <w:name w:val="heading 7"/>
    <w:basedOn w:val="Normal"/>
    <w:next w:val="Normal"/>
    <w:link w:val="Heading7Char"/>
    <w:qFormat/>
    <w:locked/>
    <w:rsid w:val="00A76D31"/>
    <w:pPr>
      <w:keepNext/>
      <w:keepLines/>
      <w:numPr>
        <w:ilvl w:val="6"/>
        <w:numId w:val="22"/>
      </w:numPr>
      <w:spacing w:before="200"/>
      <w:outlineLvl w:val="6"/>
    </w:pPr>
    <w:rPr>
      <w:rFonts w:ascii="Cambria" w:hAnsi="Cambria"/>
      <w:i/>
      <w:iCs/>
      <w:color w:val="404040"/>
    </w:rPr>
  </w:style>
  <w:style w:type="paragraph" w:styleId="Heading8">
    <w:name w:val="heading 8"/>
    <w:basedOn w:val="Normal"/>
    <w:next w:val="Normal"/>
    <w:link w:val="Heading8Char"/>
    <w:qFormat/>
    <w:locked/>
    <w:rsid w:val="00A76D31"/>
    <w:pPr>
      <w:keepNext/>
      <w:keepLines/>
      <w:tabs>
        <w:tab w:val="num" w:pos="0"/>
      </w:tabs>
      <w:spacing w:before="200"/>
      <w:ind w:left="1440" w:hanging="1440"/>
      <w:outlineLvl w:val="7"/>
    </w:pPr>
    <w:rPr>
      <w:rFonts w:ascii="Cambria" w:hAnsi="Cambria"/>
      <w:color w:val="404040"/>
      <w:sz w:val="20"/>
    </w:rPr>
  </w:style>
  <w:style w:type="paragraph" w:styleId="Heading9">
    <w:name w:val="heading 9"/>
    <w:basedOn w:val="Normal"/>
    <w:next w:val="Normal"/>
    <w:link w:val="Heading9Char"/>
    <w:qFormat/>
    <w:locked/>
    <w:rsid w:val="00A76D31"/>
    <w:pPr>
      <w:keepNext/>
      <w:keepLines/>
      <w:tabs>
        <w:tab w:val="num" w:pos="0"/>
      </w:tabs>
      <w:spacing w:before="200"/>
      <w:ind w:left="1584" w:hanging="1584"/>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6D31"/>
    <w:rPr>
      <w:rFonts w:ascii="Arial" w:hAnsi="Arial"/>
      <w:b/>
      <w:bCs/>
      <w:color w:val="000000"/>
      <w:sz w:val="28"/>
      <w:szCs w:val="28"/>
      <w:lang w:eastAsia="en-US"/>
    </w:rPr>
  </w:style>
  <w:style w:type="character" w:customStyle="1" w:styleId="Heading2Char">
    <w:name w:val="Heading 2 Char"/>
    <w:link w:val="Heading2"/>
    <w:rsid w:val="00A76D31"/>
    <w:rPr>
      <w:rFonts w:ascii="Arial" w:hAnsi="Arial"/>
      <w:b/>
      <w:i/>
      <w:color w:val="000000"/>
      <w:sz w:val="28"/>
      <w:szCs w:val="26"/>
      <w:lang w:eastAsia="en-US"/>
    </w:rPr>
  </w:style>
  <w:style w:type="character" w:customStyle="1" w:styleId="Heading3Char">
    <w:name w:val="Heading 3 Char"/>
    <w:link w:val="Heading3"/>
    <w:rsid w:val="00A76D31"/>
    <w:rPr>
      <w:rFonts w:ascii="Arial" w:hAnsi="Arial"/>
      <w:bCs/>
      <w:i/>
      <w:sz w:val="24"/>
      <w:szCs w:val="26"/>
      <w:lang w:eastAsia="en-US"/>
    </w:rPr>
  </w:style>
  <w:style w:type="character" w:customStyle="1" w:styleId="Heading4Char">
    <w:name w:val="Heading 4 Char"/>
    <w:link w:val="Heading4"/>
    <w:rsid w:val="00A76D31"/>
    <w:rPr>
      <w:rFonts w:ascii="Arial" w:hAnsi="Arial"/>
      <w:iCs/>
      <w:sz w:val="24"/>
      <w:szCs w:val="26"/>
      <w:lang w:eastAsia="en-US"/>
    </w:rPr>
  </w:style>
  <w:style w:type="character" w:styleId="Strong">
    <w:name w:val="Strong"/>
    <w:qFormat/>
    <w:locked/>
    <w:rsid w:val="00A76D31"/>
    <w:rPr>
      <w:b/>
      <w:bCs/>
    </w:rPr>
  </w:style>
  <w:style w:type="character" w:customStyle="1" w:styleId="Heading5Char">
    <w:name w:val="Heading 5 Char"/>
    <w:link w:val="Heading5"/>
    <w:rsid w:val="00A76D31"/>
    <w:rPr>
      <w:rFonts w:ascii="Cambria" w:hAnsi="Cambria"/>
      <w:color w:val="243F60"/>
      <w:sz w:val="24"/>
      <w:lang w:eastAsia="en-US"/>
    </w:rPr>
  </w:style>
  <w:style w:type="character" w:customStyle="1" w:styleId="Heading6Char">
    <w:name w:val="Heading 6 Char"/>
    <w:link w:val="Heading6"/>
    <w:rsid w:val="00A76D31"/>
    <w:rPr>
      <w:rFonts w:ascii="Cambria" w:hAnsi="Cambria"/>
      <w:i/>
      <w:iCs/>
      <w:color w:val="243F60"/>
      <w:sz w:val="24"/>
      <w:lang w:eastAsia="en-US"/>
    </w:rPr>
  </w:style>
  <w:style w:type="character" w:customStyle="1" w:styleId="Heading7Char">
    <w:name w:val="Heading 7 Char"/>
    <w:link w:val="Heading7"/>
    <w:rsid w:val="00A76D31"/>
    <w:rPr>
      <w:rFonts w:ascii="Cambria" w:hAnsi="Cambria"/>
      <w:i/>
      <w:iCs/>
      <w:color w:val="404040"/>
      <w:sz w:val="24"/>
      <w:lang w:eastAsia="en-US"/>
    </w:rPr>
  </w:style>
  <w:style w:type="character" w:customStyle="1" w:styleId="Heading8Char">
    <w:name w:val="Heading 8 Char"/>
    <w:link w:val="Heading8"/>
    <w:rsid w:val="00A76D31"/>
    <w:rPr>
      <w:rFonts w:ascii="Cambria" w:hAnsi="Cambria"/>
      <w:color w:val="404040"/>
      <w:lang w:eastAsia="en-US"/>
    </w:rPr>
  </w:style>
  <w:style w:type="character" w:customStyle="1" w:styleId="Heading9Char">
    <w:name w:val="Heading 9 Char"/>
    <w:link w:val="Heading9"/>
    <w:rsid w:val="00A76D31"/>
    <w:rPr>
      <w:rFonts w:ascii="Cambria" w:hAnsi="Cambria"/>
      <w:i/>
      <w:iCs/>
      <w:color w:val="404040"/>
      <w:lang w:eastAsia="en-US"/>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A76D31"/>
    <w:pPr>
      <w:tabs>
        <w:tab w:val="right" w:leader="dot" w:pos="9060"/>
      </w:tabs>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A76D31"/>
    <w:pPr>
      <w:tabs>
        <w:tab w:val="right" w:leader="dot" w:pos="9060"/>
      </w:tabs>
      <w:spacing w:after="0"/>
      <w:ind w:left="720" w:hanging="720"/>
    </w:pPr>
    <w:rPr>
      <w:b/>
      <w:noProof/>
    </w:rPr>
  </w:style>
  <w:style w:type="paragraph" w:styleId="TOC2">
    <w:name w:val="toc 2"/>
    <w:basedOn w:val="Normal"/>
    <w:next w:val="Normal"/>
    <w:autoRedefine/>
    <w:uiPriority w:val="39"/>
    <w:semiHidden/>
    <w:qFormat/>
    <w:locked/>
    <w:rsid w:val="00A76D31"/>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Heading1"/>
    <w:next w:val="Normal"/>
    <w:uiPriority w:val="39"/>
    <w:qFormat/>
    <w:locked/>
    <w:rsid w:val="00A76D31"/>
    <w:pPr>
      <w:numPr>
        <w:numId w:val="0"/>
      </w:numPr>
      <w:spacing w:before="480" w:after="0" w:line="276" w:lineRule="auto"/>
      <w:outlineLvl w:val="9"/>
    </w:pPr>
    <w:rPr>
      <w:rFonts w:ascii="Cambria" w:hAnsi="Cambria"/>
      <w:color w:val="365F91"/>
      <w:lang w:val="en-US"/>
    </w:rPr>
  </w:style>
  <w:style w:type="paragraph" w:styleId="EndnoteText">
    <w:name w:val="endnote text"/>
    <w:basedOn w:val="Normal"/>
    <w:link w:val="EndnoteTextChar"/>
    <w:semiHidden/>
    <w:rsid w:val="00706FAB"/>
    <w:pPr>
      <w:spacing w:before="0" w:after="0"/>
    </w:pPr>
    <w:rPr>
      <w:sz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A76D31"/>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rPr>
  </w:style>
  <w:style w:type="character" w:styleId="FootnoteReference">
    <w:name w:val="footnote reference"/>
    <w:basedOn w:val="DefaultParagraphFont"/>
    <w:uiPriority w:val="99"/>
    <w:semiHidden/>
    <w:rsid w:val="00074CD6"/>
    <w:rPr>
      <w:rFonts w:ascii="Arial" w:hAnsi="Arial"/>
      <w:sz w:val="20"/>
      <w:vertAlign w:val="superscript"/>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
    <w:basedOn w:val="Normal"/>
    <w:link w:val="FootnoteTextChar"/>
    <w:uiPriority w:val="99"/>
    <w:semiHidden/>
    <w:rsid w:val="00706FAB"/>
    <w:pPr>
      <w:spacing w:before="0" w:after="0"/>
    </w:pPr>
    <w:rPr>
      <w:sz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link w:val="HTMLPreformattedChar"/>
    <w:uiPriority w:val="99"/>
    <w:semiHidden/>
    <w:locked/>
    <w:rsid w:val="00E45954"/>
    <w:rPr>
      <w:rFonts w:ascii="Courier New" w:hAnsi="Courier New" w:cs="Courier New"/>
      <w:sz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A76D31"/>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A76D31"/>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semiHidden/>
    <w:locked/>
    <w:rsid w:val="00706FAB"/>
    <w:rPr>
      <w:rFonts w:ascii="Arial" w:hAnsi="Arial"/>
      <w:lang w:val="en-AU" w:eastAsia="en-AU" w:bidi="ar-SA"/>
    </w:rPr>
  </w:style>
  <w:style w:type="paragraph" w:styleId="ListParagraph">
    <w:name w:val="List Paragraph"/>
    <w:basedOn w:val="Normal"/>
    <w:uiPriority w:val="34"/>
    <w:qFormat/>
    <w:rsid w:val="00987552"/>
    <w:pPr>
      <w:ind w:left="720"/>
    </w:pPr>
    <w:rPr>
      <w:rFonts w:eastAsia="MS Mincho"/>
    </w:rPr>
  </w:style>
  <w:style w:type="paragraph" w:styleId="BalloonText">
    <w:name w:val="Balloon Text"/>
    <w:basedOn w:val="Normal"/>
    <w:link w:val="BalloonTextChar"/>
    <w:locked/>
    <w:rsid w:val="00276358"/>
    <w:pPr>
      <w:spacing w:before="0" w:after="0"/>
    </w:pPr>
    <w:rPr>
      <w:rFonts w:ascii="Tahoma" w:hAnsi="Tahoma" w:cs="Tahoma"/>
      <w:sz w:val="16"/>
      <w:szCs w:val="16"/>
    </w:rPr>
  </w:style>
  <w:style w:type="character" w:customStyle="1" w:styleId="BalloonTextChar">
    <w:name w:val="Balloon Text Char"/>
    <w:basedOn w:val="DefaultParagraphFont"/>
    <w:link w:val="BalloonText"/>
    <w:rsid w:val="00276358"/>
    <w:rPr>
      <w:rFonts w:ascii="Tahoma" w:hAnsi="Tahoma" w:cs="Tahoma"/>
      <w:sz w:val="16"/>
      <w:szCs w:val="16"/>
    </w:rPr>
  </w:style>
  <w:style w:type="character" w:customStyle="1" w:styleId="HTMLPreformattedChar">
    <w:name w:val="HTML Preformatted Char"/>
    <w:basedOn w:val="DefaultParagraphFont"/>
    <w:link w:val="HTMLPreformatted"/>
    <w:uiPriority w:val="99"/>
    <w:semiHidden/>
    <w:rsid w:val="00A96369"/>
    <w:rPr>
      <w:rFonts w:ascii="Courier New" w:hAnsi="Courier New" w:cs="Courier New"/>
    </w:rPr>
  </w:style>
  <w:style w:type="paragraph" w:customStyle="1" w:styleId="SubmissionNormal">
    <w:name w:val="Submission Normal"/>
    <w:aliases w:val="No Spacing1,No Spacing11"/>
    <w:basedOn w:val="Normal"/>
    <w:link w:val="SubmissionNormalChar"/>
    <w:rsid w:val="00FD6932"/>
    <w:pPr>
      <w:numPr>
        <w:numId w:val="17"/>
      </w:numPr>
    </w:pPr>
  </w:style>
  <w:style w:type="character" w:customStyle="1" w:styleId="SubmissionNormalChar">
    <w:name w:val="Submission Normal Char"/>
    <w:aliases w:val="No Spacing Char,No Spacing1 Char"/>
    <w:link w:val="SubmissionNormal"/>
    <w:rsid w:val="00FD6932"/>
    <w:rPr>
      <w:rFonts w:ascii="Arial" w:hAnsi="Arial"/>
      <w:color w:val="000000"/>
      <w:sz w:val="24"/>
      <w:lang w:eastAsia="en-US"/>
    </w:rPr>
  </w:style>
  <w:style w:type="character" w:styleId="CommentReference">
    <w:name w:val="annotation reference"/>
    <w:basedOn w:val="DefaultParagraphFont"/>
    <w:locked/>
    <w:rsid w:val="008352D3"/>
    <w:rPr>
      <w:sz w:val="16"/>
      <w:szCs w:val="16"/>
    </w:rPr>
  </w:style>
  <w:style w:type="paragraph" w:styleId="CommentText">
    <w:name w:val="annotation text"/>
    <w:basedOn w:val="Normal"/>
    <w:link w:val="CommentTextChar"/>
    <w:locked/>
    <w:rsid w:val="008352D3"/>
    <w:rPr>
      <w:sz w:val="20"/>
    </w:rPr>
  </w:style>
  <w:style w:type="character" w:customStyle="1" w:styleId="CommentTextChar">
    <w:name w:val="Comment Text Char"/>
    <w:basedOn w:val="DefaultParagraphFont"/>
    <w:link w:val="CommentText"/>
    <w:rsid w:val="008352D3"/>
    <w:rPr>
      <w:rFonts w:ascii="Arial" w:hAnsi="Arial"/>
    </w:rPr>
  </w:style>
  <w:style w:type="paragraph" w:styleId="CommentSubject">
    <w:name w:val="annotation subject"/>
    <w:basedOn w:val="CommentText"/>
    <w:next w:val="CommentText"/>
    <w:link w:val="CommentSubjectChar"/>
    <w:locked/>
    <w:rsid w:val="008352D3"/>
    <w:rPr>
      <w:b/>
      <w:bCs/>
    </w:rPr>
  </w:style>
  <w:style w:type="character" w:customStyle="1" w:styleId="CommentSubjectChar">
    <w:name w:val="Comment Subject Char"/>
    <w:basedOn w:val="CommentTextChar"/>
    <w:link w:val="CommentSubject"/>
    <w:rsid w:val="008352D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805783933">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075320651">
      <w:bodyDiv w:val="1"/>
      <w:marLeft w:val="0"/>
      <w:marRight w:val="0"/>
      <w:marTop w:val="0"/>
      <w:marBottom w:val="0"/>
      <w:divBdr>
        <w:top w:val="none" w:sz="0" w:space="0" w:color="auto"/>
        <w:left w:val="none" w:sz="0" w:space="0" w:color="auto"/>
        <w:bottom w:val="none" w:sz="0" w:space="0" w:color="auto"/>
        <w:right w:val="none" w:sz="0" w:space="0" w:color="auto"/>
      </w:divBdr>
    </w:div>
    <w:div w:id="1109467481">
      <w:bodyDiv w:val="1"/>
      <w:marLeft w:val="0"/>
      <w:marRight w:val="0"/>
      <w:marTop w:val="0"/>
      <w:marBottom w:val="0"/>
      <w:divBdr>
        <w:top w:val="none" w:sz="0" w:space="0" w:color="auto"/>
        <w:left w:val="none" w:sz="0" w:space="0" w:color="auto"/>
        <w:bottom w:val="none" w:sz="0" w:space="0" w:color="auto"/>
        <w:right w:val="none" w:sz="0" w:space="0" w:color="auto"/>
      </w:divBdr>
    </w:div>
    <w:div w:id="1266768889">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638025386">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 w:id="203714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londonmet.ac.uk/fms/MRSite/Research/HRSJ/EHRAC/Reports/Art%202%20positive%20obligations%20-%20Law%20Soc%205_11%20PL.pdf" TargetMode="External"/><Relationship Id="rId2" Type="http://schemas.openxmlformats.org/officeDocument/2006/relationships/hyperlink" Target="http://www2.ohchr.org/english/law/executions.htm" TargetMode="External"/><Relationship Id="rId1" Type="http://schemas.openxmlformats.org/officeDocument/2006/relationships/hyperlink" Target="http://www.humanrights.gov.au/social_justice/sj_repor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CBEB2-82EB-480A-B4C9-B9B3208A1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4318</Words>
  <Characters>23432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27695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Michelle Lindley</dc:creator>
  <cp:lastModifiedBy>Michelle Lindley</cp:lastModifiedBy>
  <cp:revision>4</cp:revision>
  <cp:lastPrinted>2012-06-25T04:08:00Z</cp:lastPrinted>
  <dcterms:created xsi:type="dcterms:W3CDTF">2012-06-25T04:08:00Z</dcterms:created>
  <dcterms:modified xsi:type="dcterms:W3CDTF">2012-06-25T04:20:00Z</dcterms:modified>
</cp:coreProperties>
</file>